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523FE" w14:textId="6952D1AA" w:rsidR="00E738AC" w:rsidRDefault="00E738AC" w:rsidP="0059185F">
      <w:pPr>
        <w:spacing w:line="240" w:lineRule="auto"/>
        <w:rPr>
          <w:sz w:val="17"/>
          <w:szCs w:val="17"/>
        </w:rPr>
      </w:pPr>
      <w:r>
        <w:rPr>
          <w:sz w:val="17"/>
          <w:szCs w:val="17"/>
        </w:rPr>
        <w:t>2</w:t>
      </w:r>
    </w:p>
    <w:sdt>
      <w:sdtPr>
        <w:rPr>
          <w:sz w:val="17"/>
          <w:szCs w:val="17"/>
        </w:rPr>
        <w:id w:val="-1978372118"/>
        <w:docPartObj>
          <w:docPartGallery w:val="Cover Pages"/>
          <w:docPartUnique/>
        </w:docPartObj>
      </w:sdtPr>
      <w:sdtEndPr>
        <w:rPr>
          <w:b/>
        </w:rPr>
      </w:sdtEndPr>
      <w:sdtContent>
        <w:p w14:paraId="7E230BDF" w14:textId="4E7F14FE" w:rsidR="00663EFD" w:rsidRPr="00166D67" w:rsidRDefault="00663EFD" w:rsidP="0059185F">
          <w:pPr>
            <w:spacing w:line="240" w:lineRule="auto"/>
            <w:rPr>
              <w:sz w:val="17"/>
              <w:szCs w:val="17"/>
            </w:rPr>
          </w:pPr>
        </w:p>
        <w:p w14:paraId="2AA930B5" w14:textId="27F63424" w:rsidR="00663EFD" w:rsidRPr="00166D67" w:rsidRDefault="009B7981" w:rsidP="0059185F">
          <w:pPr>
            <w:spacing w:line="240" w:lineRule="auto"/>
            <w:jc w:val="left"/>
            <w:rPr>
              <w:b/>
              <w:sz w:val="17"/>
              <w:szCs w:val="17"/>
            </w:rPr>
          </w:pPr>
          <w:r w:rsidRPr="00166D67">
            <w:rPr>
              <w:noProof/>
              <w:sz w:val="17"/>
              <w:szCs w:val="17"/>
              <w:lang w:eastAsia="en-IE"/>
            </w:rPr>
            <mc:AlternateContent>
              <mc:Choice Requires="wps">
                <w:drawing>
                  <wp:anchor distT="45720" distB="45720" distL="114300" distR="114300" simplePos="0" relativeHeight="251659264" behindDoc="0" locked="0" layoutInCell="1" allowOverlap="1" wp14:anchorId="257E7B18" wp14:editId="0D80BC98">
                    <wp:simplePos x="0" y="0"/>
                    <wp:positionH relativeFrom="margin">
                      <wp:posOffset>4286250</wp:posOffset>
                    </wp:positionH>
                    <wp:positionV relativeFrom="paragraph">
                      <wp:posOffset>1301115</wp:posOffset>
                    </wp:positionV>
                    <wp:extent cx="4848225" cy="3898900"/>
                    <wp:effectExtent l="0" t="0" r="952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3898900"/>
                            </a:xfrm>
                            <a:prstGeom prst="rect">
                              <a:avLst/>
                            </a:prstGeom>
                            <a:solidFill>
                              <a:srgbClr val="FFFFFF"/>
                            </a:solidFill>
                            <a:ln w="9525">
                              <a:noFill/>
                              <a:miter lim="800000"/>
                              <a:headEnd/>
                              <a:tailEnd/>
                            </a:ln>
                          </wps:spPr>
                          <wps:txbx>
                            <w:txbxContent>
                              <w:p w14:paraId="15FF0269" w14:textId="2B62FA4D" w:rsidR="009D41EE" w:rsidRPr="00DC2F7F" w:rsidRDefault="009D41EE" w:rsidP="00A326B8">
                                <w:pPr>
                                  <w:spacing w:line="460" w:lineRule="exact"/>
                                  <w:rPr>
                                    <w:rFonts w:ascii="Arial Bold" w:hAnsi="Arial Bold"/>
                                    <w:b/>
                                    <w:color w:val="3E3935" w:themeColor="accent4"/>
                                    <w:spacing w:val="-20"/>
                                    <w:sz w:val="40"/>
                                    <w:szCs w:val="44"/>
                                  </w:rPr>
                                </w:pPr>
                                <w:r w:rsidRPr="00DC2F7F">
                                  <w:rPr>
                                    <w:rFonts w:ascii="Arial Bold" w:hAnsi="Arial Bold"/>
                                    <w:b/>
                                    <w:color w:val="3E3935" w:themeColor="accent4"/>
                                    <w:spacing w:val="-20"/>
                                    <w:sz w:val="40"/>
                                    <w:szCs w:val="44"/>
                                  </w:rPr>
                                  <w:t xml:space="preserve">COVID-19: statements and press releases from Irish and European financial regulators </w:t>
                                </w:r>
                                <w:r w:rsidRPr="00DC2F7F">
                                  <w:rPr>
                                    <w:rFonts w:ascii="Arial Bold" w:hAnsi="Arial Bold"/>
                                    <w:b/>
                                    <w:color w:val="3E3935" w:themeColor="accent4"/>
                                    <w:spacing w:val="-20"/>
                                    <w:sz w:val="40"/>
                                    <w:szCs w:val="44"/>
                                  </w:rPr>
                                  <w:br/>
                                </w:r>
                                <w:r w:rsidRPr="00DC2F7F">
                                  <w:rPr>
                                    <w:rFonts w:asciiTheme="majorHAnsi" w:hAnsiTheme="majorHAnsi" w:cstheme="majorHAnsi"/>
                                    <w:i/>
                                    <w:color w:val="78716C" w:themeColor="accent5"/>
                                    <w:spacing w:val="-20"/>
                                    <w:sz w:val="40"/>
                                    <w:szCs w:val="44"/>
                                  </w:rPr>
                                  <w:t xml:space="preserve">(as </w:t>
                                </w:r>
                                <w:r w:rsidR="00E458B8">
                                  <w:rPr>
                                    <w:rFonts w:asciiTheme="majorHAnsi" w:hAnsiTheme="majorHAnsi" w:cstheme="majorHAnsi"/>
                                    <w:i/>
                                    <w:color w:val="78716C" w:themeColor="accent5"/>
                                    <w:spacing w:val="-20"/>
                                    <w:sz w:val="40"/>
                                    <w:szCs w:val="44"/>
                                  </w:rPr>
                                  <w:t>of 20</w:t>
                                </w:r>
                                <w:r>
                                  <w:rPr>
                                    <w:rFonts w:asciiTheme="majorHAnsi" w:hAnsiTheme="majorHAnsi" w:cstheme="majorHAnsi"/>
                                    <w:i/>
                                    <w:color w:val="78716C" w:themeColor="accent5"/>
                                    <w:spacing w:val="-20"/>
                                    <w:sz w:val="40"/>
                                    <w:szCs w:val="44"/>
                                  </w:rPr>
                                  <w:t xml:space="preserve"> </w:t>
                                </w:r>
                                <w:r w:rsidR="00146F35">
                                  <w:rPr>
                                    <w:rFonts w:asciiTheme="majorHAnsi" w:hAnsiTheme="majorHAnsi" w:cstheme="majorHAnsi"/>
                                    <w:i/>
                                    <w:color w:val="78716C" w:themeColor="accent5"/>
                                    <w:spacing w:val="-20"/>
                                    <w:sz w:val="40"/>
                                    <w:szCs w:val="44"/>
                                  </w:rPr>
                                  <w:t>July</w:t>
                                </w:r>
                                <w:r>
                                  <w:rPr>
                                    <w:rFonts w:asciiTheme="majorHAnsi" w:hAnsiTheme="majorHAnsi" w:cstheme="majorHAnsi"/>
                                    <w:i/>
                                    <w:color w:val="78716C" w:themeColor="accent5"/>
                                    <w:spacing w:val="-20"/>
                                    <w:sz w:val="40"/>
                                    <w:szCs w:val="44"/>
                                  </w:rPr>
                                  <w:t xml:space="preserve"> 2021</w:t>
                                </w:r>
                                <w:r w:rsidRPr="00DC2F7F">
                                  <w:rPr>
                                    <w:rFonts w:asciiTheme="majorHAnsi" w:hAnsiTheme="majorHAnsi" w:cstheme="majorHAnsi"/>
                                    <w:i/>
                                    <w:color w:val="78716C" w:themeColor="accent5"/>
                                    <w:spacing w:val="-20"/>
                                    <w:sz w:val="40"/>
                                    <w:szCs w:val="44"/>
                                  </w:rPr>
                                  <w:t>)</w:t>
                                </w:r>
                              </w:p>
                              <w:p w14:paraId="3C84A401" w14:textId="77777777" w:rsidR="009D41EE" w:rsidRPr="00DC2F7F" w:rsidRDefault="009D41EE" w:rsidP="00DC2F7F">
                                <w:pPr>
                                  <w:spacing w:line="240" w:lineRule="auto"/>
                                  <w:jc w:val="left"/>
                                  <w:rPr>
                                    <w:color w:val="2CD5C4" w:themeColor="accent1"/>
                                    <w:sz w:val="24"/>
                                    <w:szCs w:val="18"/>
                                  </w:rPr>
                                </w:pPr>
                                <w:r w:rsidRPr="00DC2F7F">
                                  <w:rPr>
                                    <w:color w:val="2CD5C4" w:themeColor="accent1"/>
                                    <w:sz w:val="24"/>
                                    <w:szCs w:val="18"/>
                                  </w:rPr>
                                  <w:t xml:space="preserve">A&amp;L Goodbody's Financial Regulation Team has prepared the below table with commentary, which compiles statements by the Central Bank of Ireland, the European Banking Authority, the European Central Bank and the European Securities and Markets Authority related to the COVID-19 pandemic. </w:t>
                                </w:r>
                              </w:p>
                              <w:p w14:paraId="36B0B2E6" w14:textId="31559D69" w:rsidR="009D41EE" w:rsidRPr="00DC2F7F" w:rsidRDefault="009D41EE" w:rsidP="00663EFD">
                                <w:pPr>
                                  <w:jc w:val="left"/>
                                  <w:rPr>
                                    <w:sz w:val="18"/>
                                    <w:szCs w:val="18"/>
                                  </w:rPr>
                                </w:pPr>
                                <w:r w:rsidRPr="00DC2F7F">
                                  <w:rPr>
                                    <w:sz w:val="18"/>
                                    <w:szCs w:val="18"/>
                                  </w:rPr>
                                  <w:t>These statements outline regulators' expectations of regulated financial services providers in an uncertain economic and regulatory landscape.</w:t>
                                </w:r>
                              </w:p>
                              <w:p w14:paraId="42FD23B4" w14:textId="77777777" w:rsidR="009D41EE" w:rsidRPr="00DC2F7F" w:rsidRDefault="009D41EE" w:rsidP="00663EFD">
                                <w:pPr>
                                  <w:jc w:val="left"/>
                                  <w:rPr>
                                    <w:sz w:val="18"/>
                                    <w:szCs w:val="24"/>
                                  </w:rPr>
                                </w:pPr>
                                <w:r w:rsidRPr="00DC2F7F">
                                  <w:rPr>
                                    <w:b/>
                                    <w:sz w:val="18"/>
                                    <w:szCs w:val="24"/>
                                  </w:rPr>
                                  <w:t>Legend:</w:t>
                                </w:r>
                                <w:r w:rsidRPr="00DC2F7F">
                                  <w:rPr>
                                    <w:sz w:val="18"/>
                                    <w:szCs w:val="24"/>
                                  </w:rPr>
                                  <w:t xml:space="preserve"> </w:t>
                                </w:r>
                              </w:p>
                              <w:p w14:paraId="22D41A40" w14:textId="77777777" w:rsidR="009D41EE" w:rsidRDefault="009D41EE" w:rsidP="00DC2F7F">
                                <w:pPr>
                                  <w:spacing w:before="0" w:line="240" w:lineRule="auto"/>
                                  <w:jc w:val="left"/>
                                  <w:rPr>
                                    <w:sz w:val="18"/>
                                    <w:szCs w:val="18"/>
                                  </w:rPr>
                                </w:pPr>
                                <w:r w:rsidRPr="00DC2F7F">
                                  <w:rPr>
                                    <w:b/>
                                    <w:sz w:val="18"/>
                                    <w:szCs w:val="18"/>
                                  </w:rPr>
                                  <w:t>CBI</w:t>
                                </w:r>
                                <w:r>
                                  <w:rPr>
                                    <w:sz w:val="18"/>
                                    <w:szCs w:val="18"/>
                                  </w:rPr>
                                  <w:t xml:space="preserve"> – Central Bank of Ireland</w:t>
                                </w:r>
                              </w:p>
                              <w:p w14:paraId="0471A7AC" w14:textId="77777777" w:rsidR="009D41EE" w:rsidRDefault="009D41EE" w:rsidP="00DC2F7F">
                                <w:pPr>
                                  <w:spacing w:before="0" w:line="240" w:lineRule="auto"/>
                                  <w:jc w:val="left"/>
                                  <w:rPr>
                                    <w:sz w:val="18"/>
                                    <w:szCs w:val="18"/>
                                  </w:rPr>
                                </w:pPr>
                                <w:r w:rsidRPr="00DC2F7F">
                                  <w:rPr>
                                    <w:b/>
                                    <w:sz w:val="18"/>
                                    <w:szCs w:val="18"/>
                                  </w:rPr>
                                  <w:t xml:space="preserve">EBA </w:t>
                                </w:r>
                                <w:r w:rsidRPr="00DC2F7F">
                                  <w:rPr>
                                    <w:sz w:val="18"/>
                                    <w:szCs w:val="18"/>
                                  </w:rPr>
                                  <w:t>–</w:t>
                                </w:r>
                                <w:r w:rsidRPr="00DC2F7F">
                                  <w:rPr>
                                    <w:b/>
                                    <w:sz w:val="18"/>
                                    <w:szCs w:val="18"/>
                                  </w:rPr>
                                  <w:t xml:space="preserve"> </w:t>
                                </w:r>
                                <w:r w:rsidRPr="00DC2F7F">
                                  <w:rPr>
                                    <w:sz w:val="18"/>
                                    <w:szCs w:val="18"/>
                                  </w:rPr>
                                  <w:t>European</w:t>
                                </w:r>
                                <w:r w:rsidRPr="00DC2F7F">
                                  <w:rPr>
                                    <w:b/>
                                    <w:sz w:val="18"/>
                                    <w:szCs w:val="18"/>
                                  </w:rPr>
                                  <w:t xml:space="preserve"> </w:t>
                                </w:r>
                                <w:r>
                                  <w:rPr>
                                    <w:sz w:val="18"/>
                                    <w:szCs w:val="18"/>
                                  </w:rPr>
                                  <w:t>Banking Authority</w:t>
                                </w:r>
                              </w:p>
                              <w:p w14:paraId="7A67F824" w14:textId="77777777" w:rsidR="009D41EE" w:rsidRDefault="009D41EE" w:rsidP="00DC2F7F">
                                <w:pPr>
                                  <w:spacing w:before="0" w:line="240" w:lineRule="auto"/>
                                  <w:jc w:val="left"/>
                                  <w:rPr>
                                    <w:sz w:val="18"/>
                                    <w:szCs w:val="18"/>
                                  </w:rPr>
                                </w:pPr>
                                <w:r w:rsidRPr="00DC2F7F">
                                  <w:rPr>
                                    <w:b/>
                                    <w:sz w:val="18"/>
                                    <w:szCs w:val="18"/>
                                  </w:rPr>
                                  <w:t>ECB</w:t>
                                </w:r>
                                <w:r>
                                  <w:rPr>
                                    <w:sz w:val="18"/>
                                    <w:szCs w:val="18"/>
                                  </w:rPr>
                                  <w:t xml:space="preserve"> – European Central Bank</w:t>
                                </w:r>
                              </w:p>
                              <w:p w14:paraId="6A0EB3F7" w14:textId="77777777" w:rsidR="009D41EE" w:rsidRDefault="009D41EE" w:rsidP="00DC2F7F">
                                <w:pPr>
                                  <w:spacing w:before="0" w:line="240" w:lineRule="auto"/>
                                  <w:jc w:val="left"/>
                                  <w:rPr>
                                    <w:sz w:val="18"/>
                                    <w:szCs w:val="18"/>
                                  </w:rPr>
                                </w:pPr>
                                <w:r w:rsidRPr="00DC2F7F">
                                  <w:rPr>
                                    <w:b/>
                                    <w:sz w:val="18"/>
                                    <w:szCs w:val="18"/>
                                  </w:rPr>
                                  <w:t>ESMA</w:t>
                                </w:r>
                                <w:r w:rsidRPr="00DC2F7F">
                                  <w:rPr>
                                    <w:sz w:val="18"/>
                                    <w:szCs w:val="18"/>
                                  </w:rPr>
                                  <w:t xml:space="preserve"> – European Se</w:t>
                                </w:r>
                                <w:r>
                                  <w:rPr>
                                    <w:sz w:val="18"/>
                                    <w:szCs w:val="18"/>
                                  </w:rPr>
                                  <w:t>curities and Markets Authority</w:t>
                                </w:r>
                              </w:p>
                              <w:p w14:paraId="33CBE5D1" w14:textId="0A9FD907" w:rsidR="009D41EE" w:rsidRPr="00DC2F7F" w:rsidRDefault="009D41EE" w:rsidP="00DC2F7F">
                                <w:pPr>
                                  <w:spacing w:before="0" w:line="240" w:lineRule="auto"/>
                                  <w:jc w:val="left"/>
                                  <w:rPr>
                                    <w:sz w:val="18"/>
                                    <w:szCs w:val="18"/>
                                  </w:rPr>
                                </w:pPr>
                                <w:r w:rsidRPr="00DC2F7F">
                                  <w:rPr>
                                    <w:b/>
                                    <w:sz w:val="18"/>
                                    <w:szCs w:val="18"/>
                                  </w:rPr>
                                  <w:t>NCA</w:t>
                                </w:r>
                                <w:r>
                                  <w:rPr>
                                    <w:sz w:val="18"/>
                                    <w:szCs w:val="18"/>
                                  </w:rPr>
                                  <w:t xml:space="preserve"> – National Competent Authority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7E7B18" id="_x0000_t202" coordsize="21600,21600" o:spt="202" path="m,l,21600r21600,l21600,xe">
                    <v:stroke joinstyle="miter"/>
                    <v:path gradientshapeok="t" o:connecttype="rect"/>
                  </v:shapetype>
                  <v:shape id="Text Box 2" o:spid="_x0000_s1026" type="#_x0000_t202" style="position:absolute;margin-left:337.5pt;margin-top:102.45pt;width:381.75pt;height:30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" stroked="f">
                    <v:textbox inset="0,0,0,0">
                      <w:txbxContent>
                        <w:p w14:paraId="15FF0269" w14:textId="2B62FA4D" w:rsidR="009D41EE" w:rsidRPr="00DC2F7F" w:rsidRDefault="009D41EE" w:rsidP="00A326B8">
                          <w:pPr>
                            <w:spacing w:line="460" w:lineRule="exact"/>
                            <w:rPr>
                              <w:rFonts w:ascii="Arial Bold" w:hAnsi="Arial Bold"/>
                              <w:b/>
                              <w:color w:val="3E3935" w:themeColor="accent4"/>
                              <w:spacing w:val="-20"/>
                              <w:sz w:val="40"/>
                              <w:szCs w:val="44"/>
                            </w:rPr>
                          </w:pPr>
                          <w:r w:rsidRPr="00DC2F7F">
                            <w:rPr>
                              <w:rFonts w:ascii="Arial Bold" w:hAnsi="Arial Bold"/>
                              <w:b/>
                              <w:color w:val="3E3935" w:themeColor="accent4"/>
                              <w:spacing w:val="-20"/>
                              <w:sz w:val="40"/>
                              <w:szCs w:val="44"/>
                            </w:rPr>
                            <w:t xml:space="preserve">COVID-19: statements and press releases from Irish and European financial regulators </w:t>
                          </w:r>
                          <w:r w:rsidRPr="00DC2F7F">
                            <w:rPr>
                              <w:rFonts w:ascii="Arial Bold" w:hAnsi="Arial Bold"/>
                              <w:b/>
                              <w:color w:val="3E3935" w:themeColor="accent4"/>
                              <w:spacing w:val="-20"/>
                              <w:sz w:val="40"/>
                              <w:szCs w:val="44"/>
                            </w:rPr>
                            <w:br/>
                          </w:r>
                          <w:r w:rsidRPr="00DC2F7F">
                            <w:rPr>
                              <w:rFonts w:asciiTheme="majorHAnsi" w:hAnsiTheme="majorHAnsi" w:cstheme="majorHAnsi"/>
                              <w:i/>
                              <w:color w:val="78716C" w:themeColor="accent5"/>
                              <w:spacing w:val="-20"/>
                              <w:sz w:val="40"/>
                              <w:szCs w:val="44"/>
                            </w:rPr>
                            <w:t xml:space="preserve">(as </w:t>
                          </w:r>
                          <w:r w:rsidR="00E458B8">
                            <w:rPr>
                              <w:rFonts w:asciiTheme="majorHAnsi" w:hAnsiTheme="majorHAnsi" w:cstheme="majorHAnsi"/>
                              <w:i/>
                              <w:color w:val="78716C" w:themeColor="accent5"/>
                              <w:spacing w:val="-20"/>
                              <w:sz w:val="40"/>
                              <w:szCs w:val="44"/>
                            </w:rPr>
                            <w:t>of 20</w:t>
                          </w:r>
                          <w:r>
                            <w:rPr>
                              <w:rFonts w:asciiTheme="majorHAnsi" w:hAnsiTheme="majorHAnsi" w:cstheme="majorHAnsi"/>
                              <w:i/>
                              <w:color w:val="78716C" w:themeColor="accent5"/>
                              <w:spacing w:val="-20"/>
                              <w:sz w:val="40"/>
                              <w:szCs w:val="44"/>
                            </w:rPr>
                            <w:t xml:space="preserve"> </w:t>
                          </w:r>
                          <w:r w:rsidR="00146F35">
                            <w:rPr>
                              <w:rFonts w:asciiTheme="majorHAnsi" w:hAnsiTheme="majorHAnsi" w:cstheme="majorHAnsi"/>
                              <w:i/>
                              <w:color w:val="78716C" w:themeColor="accent5"/>
                              <w:spacing w:val="-20"/>
                              <w:sz w:val="40"/>
                              <w:szCs w:val="44"/>
                            </w:rPr>
                            <w:t>July</w:t>
                          </w:r>
                          <w:bookmarkStart w:id="1" w:name="_GoBack"/>
                          <w:bookmarkEnd w:id="1"/>
                          <w:r>
                            <w:rPr>
                              <w:rFonts w:asciiTheme="majorHAnsi" w:hAnsiTheme="majorHAnsi" w:cstheme="majorHAnsi"/>
                              <w:i/>
                              <w:color w:val="78716C" w:themeColor="accent5"/>
                              <w:spacing w:val="-20"/>
                              <w:sz w:val="40"/>
                              <w:szCs w:val="44"/>
                            </w:rPr>
                            <w:t xml:space="preserve"> 2021</w:t>
                          </w:r>
                          <w:r w:rsidRPr="00DC2F7F">
                            <w:rPr>
                              <w:rFonts w:asciiTheme="majorHAnsi" w:hAnsiTheme="majorHAnsi" w:cstheme="majorHAnsi"/>
                              <w:i/>
                              <w:color w:val="78716C" w:themeColor="accent5"/>
                              <w:spacing w:val="-20"/>
                              <w:sz w:val="40"/>
                              <w:szCs w:val="44"/>
                            </w:rPr>
                            <w:t>)</w:t>
                          </w:r>
                        </w:p>
                        <w:p w14:paraId="3C84A401" w14:textId="77777777" w:rsidR="009D41EE" w:rsidRPr="00DC2F7F" w:rsidRDefault="009D41EE" w:rsidP="00DC2F7F">
                          <w:pPr>
                            <w:spacing w:line="240" w:lineRule="auto"/>
                            <w:jc w:val="left"/>
                            <w:rPr>
                              <w:color w:val="2CD5C4" w:themeColor="accent1"/>
                              <w:sz w:val="24"/>
                              <w:szCs w:val="18"/>
                            </w:rPr>
                          </w:pPr>
                          <w:r w:rsidRPr="00DC2F7F">
                            <w:rPr>
                              <w:color w:val="2CD5C4" w:themeColor="accent1"/>
                              <w:sz w:val="24"/>
                              <w:szCs w:val="18"/>
                            </w:rPr>
                            <w:t xml:space="preserve">A&amp;L Goodbody's Financial Regulation Team has prepared the below table with commentary, which compiles statements by the Central Bank of Ireland, the European Banking Authority, the European Central Bank and the European Securities and Markets Authority related to the COVID-19 pandemic. </w:t>
                          </w:r>
                        </w:p>
                        <w:p w14:paraId="36B0B2E6" w14:textId="31559D69" w:rsidR="009D41EE" w:rsidRPr="00DC2F7F" w:rsidRDefault="009D41EE" w:rsidP="00663EFD">
                          <w:pPr>
                            <w:jc w:val="left"/>
                            <w:rPr>
                              <w:sz w:val="18"/>
                              <w:szCs w:val="18"/>
                            </w:rPr>
                          </w:pPr>
                          <w:r w:rsidRPr="00DC2F7F">
                            <w:rPr>
                              <w:sz w:val="18"/>
                              <w:szCs w:val="18"/>
                            </w:rPr>
                            <w:t>These statements outline regulators' expectations of regulated financial services providers in an uncertain economic and regulatory landscape.</w:t>
                          </w:r>
                        </w:p>
                        <w:p w14:paraId="42FD23B4" w14:textId="77777777" w:rsidR="009D41EE" w:rsidRPr="00DC2F7F" w:rsidRDefault="009D41EE" w:rsidP="00663EFD">
                          <w:pPr>
                            <w:jc w:val="left"/>
                            <w:rPr>
                              <w:sz w:val="18"/>
                              <w:szCs w:val="24"/>
                            </w:rPr>
                          </w:pPr>
                          <w:r w:rsidRPr="00DC2F7F">
                            <w:rPr>
                              <w:b/>
                              <w:sz w:val="18"/>
                              <w:szCs w:val="24"/>
                            </w:rPr>
                            <w:t>Legend:</w:t>
                          </w:r>
                          <w:r w:rsidRPr="00DC2F7F">
                            <w:rPr>
                              <w:sz w:val="18"/>
                              <w:szCs w:val="24"/>
                            </w:rPr>
                            <w:t xml:space="preserve"> </w:t>
                          </w:r>
                        </w:p>
                        <w:p w14:paraId="22D41A40" w14:textId="77777777" w:rsidR="009D41EE" w:rsidRDefault="009D41EE" w:rsidP="00DC2F7F">
                          <w:pPr>
                            <w:spacing w:before="0" w:line="240" w:lineRule="auto"/>
                            <w:jc w:val="left"/>
                            <w:rPr>
                              <w:sz w:val="18"/>
                              <w:szCs w:val="18"/>
                            </w:rPr>
                          </w:pPr>
                          <w:r w:rsidRPr="00DC2F7F">
                            <w:rPr>
                              <w:b/>
                              <w:sz w:val="18"/>
                              <w:szCs w:val="18"/>
                            </w:rPr>
                            <w:t>CBI</w:t>
                          </w:r>
                          <w:r>
                            <w:rPr>
                              <w:sz w:val="18"/>
                              <w:szCs w:val="18"/>
                            </w:rPr>
                            <w:t xml:space="preserve"> – Central Bank of Ireland</w:t>
                          </w:r>
                        </w:p>
                        <w:p w14:paraId="0471A7AC" w14:textId="77777777" w:rsidR="009D41EE" w:rsidRDefault="009D41EE" w:rsidP="00DC2F7F">
                          <w:pPr>
                            <w:spacing w:before="0" w:line="240" w:lineRule="auto"/>
                            <w:jc w:val="left"/>
                            <w:rPr>
                              <w:sz w:val="18"/>
                              <w:szCs w:val="18"/>
                            </w:rPr>
                          </w:pPr>
                          <w:r w:rsidRPr="00DC2F7F">
                            <w:rPr>
                              <w:b/>
                              <w:sz w:val="18"/>
                              <w:szCs w:val="18"/>
                            </w:rPr>
                            <w:t xml:space="preserve">EBA </w:t>
                          </w:r>
                          <w:r w:rsidRPr="00DC2F7F">
                            <w:rPr>
                              <w:sz w:val="18"/>
                              <w:szCs w:val="18"/>
                            </w:rPr>
                            <w:t>–</w:t>
                          </w:r>
                          <w:r w:rsidRPr="00DC2F7F">
                            <w:rPr>
                              <w:b/>
                              <w:sz w:val="18"/>
                              <w:szCs w:val="18"/>
                            </w:rPr>
                            <w:t xml:space="preserve"> </w:t>
                          </w:r>
                          <w:r w:rsidRPr="00DC2F7F">
                            <w:rPr>
                              <w:sz w:val="18"/>
                              <w:szCs w:val="18"/>
                            </w:rPr>
                            <w:t>European</w:t>
                          </w:r>
                          <w:r w:rsidRPr="00DC2F7F">
                            <w:rPr>
                              <w:b/>
                              <w:sz w:val="18"/>
                              <w:szCs w:val="18"/>
                            </w:rPr>
                            <w:t xml:space="preserve"> </w:t>
                          </w:r>
                          <w:r>
                            <w:rPr>
                              <w:sz w:val="18"/>
                              <w:szCs w:val="18"/>
                            </w:rPr>
                            <w:t>Banking Authority</w:t>
                          </w:r>
                        </w:p>
                        <w:p w14:paraId="7A67F824" w14:textId="77777777" w:rsidR="009D41EE" w:rsidRDefault="009D41EE" w:rsidP="00DC2F7F">
                          <w:pPr>
                            <w:spacing w:before="0" w:line="240" w:lineRule="auto"/>
                            <w:jc w:val="left"/>
                            <w:rPr>
                              <w:sz w:val="18"/>
                              <w:szCs w:val="18"/>
                            </w:rPr>
                          </w:pPr>
                          <w:r w:rsidRPr="00DC2F7F">
                            <w:rPr>
                              <w:b/>
                              <w:sz w:val="18"/>
                              <w:szCs w:val="18"/>
                            </w:rPr>
                            <w:t>ECB</w:t>
                          </w:r>
                          <w:r>
                            <w:rPr>
                              <w:sz w:val="18"/>
                              <w:szCs w:val="18"/>
                            </w:rPr>
                            <w:t xml:space="preserve"> – European Central Bank</w:t>
                          </w:r>
                        </w:p>
                        <w:p w14:paraId="6A0EB3F7" w14:textId="77777777" w:rsidR="009D41EE" w:rsidRDefault="009D41EE" w:rsidP="00DC2F7F">
                          <w:pPr>
                            <w:spacing w:before="0" w:line="240" w:lineRule="auto"/>
                            <w:jc w:val="left"/>
                            <w:rPr>
                              <w:sz w:val="18"/>
                              <w:szCs w:val="18"/>
                            </w:rPr>
                          </w:pPr>
                          <w:r w:rsidRPr="00DC2F7F">
                            <w:rPr>
                              <w:b/>
                              <w:sz w:val="18"/>
                              <w:szCs w:val="18"/>
                            </w:rPr>
                            <w:t>ESMA</w:t>
                          </w:r>
                          <w:r w:rsidRPr="00DC2F7F">
                            <w:rPr>
                              <w:sz w:val="18"/>
                              <w:szCs w:val="18"/>
                            </w:rPr>
                            <w:t xml:space="preserve"> – European Se</w:t>
                          </w:r>
                          <w:r>
                            <w:rPr>
                              <w:sz w:val="18"/>
                              <w:szCs w:val="18"/>
                            </w:rPr>
                            <w:t>curities and Markets Authority</w:t>
                          </w:r>
                        </w:p>
                        <w:p w14:paraId="33CBE5D1" w14:textId="0A9FD907" w:rsidR="009D41EE" w:rsidRPr="00DC2F7F" w:rsidRDefault="009D41EE" w:rsidP="00DC2F7F">
                          <w:pPr>
                            <w:spacing w:before="0" w:line="240" w:lineRule="auto"/>
                            <w:jc w:val="left"/>
                            <w:rPr>
                              <w:sz w:val="18"/>
                              <w:szCs w:val="18"/>
                            </w:rPr>
                          </w:pPr>
                          <w:r w:rsidRPr="00DC2F7F">
                            <w:rPr>
                              <w:b/>
                              <w:sz w:val="18"/>
                              <w:szCs w:val="18"/>
                            </w:rPr>
                            <w:t>NCA</w:t>
                          </w:r>
                          <w:r>
                            <w:rPr>
                              <w:sz w:val="18"/>
                              <w:szCs w:val="18"/>
                            </w:rPr>
                            <w:t xml:space="preserve"> – National Competent Authority</w:t>
                          </w:r>
                        </w:p>
                      </w:txbxContent>
                    </v:textbox>
                    <w10:wrap type="square" anchorx="margin"/>
                  </v:shape>
                </w:pict>
              </mc:Fallback>
            </mc:AlternateContent>
          </w:r>
          <w:r w:rsidR="00B424ED" w:rsidRPr="00166D67">
            <w:rPr>
              <w:noProof/>
              <w:sz w:val="17"/>
              <w:szCs w:val="17"/>
              <w:lang w:eastAsia="en-IE"/>
            </w:rPr>
            <mc:AlternateContent>
              <mc:Choice Requires="wps">
                <w:drawing>
                  <wp:anchor distT="45720" distB="45720" distL="114300" distR="114300" simplePos="0" relativeHeight="251668480" behindDoc="0" locked="0" layoutInCell="1" allowOverlap="1" wp14:anchorId="6245CFF6" wp14:editId="2B3B125C">
                    <wp:simplePos x="0" y="0"/>
                    <wp:positionH relativeFrom="margin">
                      <wp:posOffset>6619875</wp:posOffset>
                    </wp:positionH>
                    <wp:positionV relativeFrom="paragraph">
                      <wp:posOffset>5484495</wp:posOffset>
                    </wp:positionV>
                    <wp:extent cx="2552700" cy="66675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66750"/>
                            </a:xfrm>
                            <a:prstGeom prst="rect">
                              <a:avLst/>
                            </a:prstGeom>
                            <a:solidFill>
                              <a:srgbClr val="FFFFFF"/>
                            </a:solidFill>
                            <a:ln w="9525">
                              <a:noFill/>
                              <a:miter lim="800000"/>
                              <a:headEnd/>
                              <a:tailEnd/>
                            </a:ln>
                          </wps:spPr>
                          <wps:txbx>
                            <w:txbxContent>
                              <w:p w14:paraId="27C5FD81" w14:textId="77777777" w:rsidR="009D41EE" w:rsidRDefault="009D41EE" w:rsidP="00B424ED">
                                <w:pPr>
                                  <w:pStyle w:val="ContactNameContacts"/>
                                </w:pPr>
                                <w:r w:rsidRPr="0022352A">
                                  <w:rPr>
                                    <w:rFonts w:asciiTheme="majorHAnsi" w:hAnsiTheme="majorHAnsi" w:cstheme="majorHAnsi"/>
                                    <w:b w:val="0"/>
                                    <w:bCs w:val="0"/>
                                    <w:color w:val="3C3835"/>
                                    <w:sz w:val="22"/>
                                    <w:szCs w:val="22"/>
                                  </w:rPr>
                                  <w:t>You will find a full range of timely materials for businesses in our dedicated</w:t>
                                </w:r>
                                <w:r w:rsidRPr="0022352A">
                                  <w:rPr>
                                    <w:rFonts w:asciiTheme="majorHAnsi" w:hAnsiTheme="majorHAnsi" w:cstheme="majorHAnsi"/>
                                    <w:b w:val="0"/>
                                    <w:bCs w:val="0"/>
                                    <w:caps/>
                                    <w:color w:val="3C3835"/>
                                    <w:sz w:val="22"/>
                                    <w:szCs w:val="22"/>
                                  </w:rPr>
                                  <w:t xml:space="preserve"> </w:t>
                                </w:r>
                                <w:r w:rsidRPr="0022352A">
                                  <w:rPr>
                                    <w:rFonts w:asciiTheme="majorHAnsi" w:hAnsiTheme="majorHAnsi" w:cstheme="majorHAnsi"/>
                                    <w:b w:val="0"/>
                                    <w:bCs w:val="0"/>
                                    <w:caps/>
                                    <w:color w:val="000000"/>
                                    <w:sz w:val="22"/>
                                    <w:szCs w:val="22"/>
                                  </w:rPr>
                                  <w:br/>
                                </w:r>
                                <w:hyperlink r:id="rId9" w:history="1">
                                  <w:r w:rsidRPr="001701F9">
                                    <w:rPr>
                                      <w:rStyle w:val="Hyperlink"/>
                                      <w:rFonts w:asciiTheme="majorHAnsi" w:hAnsiTheme="majorHAnsi" w:cstheme="majorHAnsi"/>
                                      <w:b w:val="0"/>
                                      <w:bCs w:val="0"/>
                                      <w:caps/>
                                      <w:sz w:val="22"/>
                                      <w:szCs w:val="22"/>
                                    </w:rPr>
                                    <w:t>COVID-19 hub</w:t>
                                  </w:r>
                                </w:hyperlink>
                                <w:r w:rsidRPr="0022352A">
                                  <w:rPr>
                                    <w:rFonts w:asciiTheme="majorHAnsi" w:hAnsiTheme="majorHAnsi" w:cstheme="majorHAnsi"/>
                                    <w:caps/>
                                    <w:sz w:val="22"/>
                                    <w:szCs w:val="22"/>
                                  </w:rPr>
                                  <w:t xml:space="preserve"> </w:t>
                                </w:r>
                                <w:r w:rsidRPr="0022352A">
                                  <w:rPr>
                                    <w:rFonts w:asciiTheme="majorHAnsi" w:hAnsiTheme="majorHAnsi" w:cstheme="majorHAnsi"/>
                                    <w:b w:val="0"/>
                                    <w:bCs w:val="0"/>
                                    <w:color w:val="3C3835"/>
                                    <w:sz w:val="22"/>
                                    <w:szCs w:val="22"/>
                                  </w:rPr>
                                  <w:t>on our website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45CFF6" id="Text Box 35" o:spid="_x0000_s1027" type="#_x0000_t202" style="position:absolute;margin-left:521.25pt;margin-top:431.85pt;width:201pt;height:5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" stroked="f">
                    <v:textbox inset="0,0,0,0">
                      <w:txbxContent>
                        <w:p w14:paraId="27C5FD81" w14:textId="77777777" w:rsidR="009D41EE" w:rsidRDefault="009D41EE" w:rsidP="00B424ED">
                          <w:pPr>
                            <w:pStyle w:val="ContactNameContacts"/>
                          </w:pPr>
                          <w:r w:rsidRPr="0022352A">
                            <w:rPr>
                              <w:rFonts w:asciiTheme="majorHAnsi" w:hAnsiTheme="majorHAnsi" w:cstheme="majorHAnsi"/>
                              <w:b w:val="0"/>
                              <w:bCs w:val="0"/>
                              <w:color w:val="3C3835"/>
                              <w:sz w:val="22"/>
                              <w:szCs w:val="22"/>
                            </w:rPr>
                            <w:t>You will find a full range of timely materials for businesses in our dedicated</w:t>
                          </w:r>
                          <w:r w:rsidRPr="0022352A">
                            <w:rPr>
                              <w:rFonts w:asciiTheme="majorHAnsi" w:hAnsiTheme="majorHAnsi" w:cstheme="majorHAnsi"/>
                              <w:b w:val="0"/>
                              <w:bCs w:val="0"/>
                              <w:caps/>
                              <w:color w:val="3C3835"/>
                              <w:sz w:val="22"/>
                              <w:szCs w:val="22"/>
                            </w:rPr>
                            <w:t xml:space="preserve"> </w:t>
                          </w:r>
                          <w:r w:rsidRPr="0022352A">
                            <w:rPr>
                              <w:rFonts w:asciiTheme="majorHAnsi" w:hAnsiTheme="majorHAnsi" w:cstheme="majorHAnsi"/>
                              <w:b w:val="0"/>
                              <w:bCs w:val="0"/>
                              <w:caps/>
                              <w:color w:val="000000"/>
                              <w:sz w:val="22"/>
                              <w:szCs w:val="22"/>
                            </w:rPr>
                            <w:br/>
                          </w:r>
                          <w:hyperlink r:id="rId10" w:history="1">
                            <w:r w:rsidRPr="001701F9">
                              <w:rPr>
                                <w:rStyle w:val="Hyperlink"/>
                                <w:rFonts w:asciiTheme="majorHAnsi" w:hAnsiTheme="majorHAnsi" w:cstheme="majorHAnsi"/>
                                <w:b w:val="0"/>
                                <w:bCs w:val="0"/>
                                <w:caps/>
                                <w:sz w:val="22"/>
                                <w:szCs w:val="22"/>
                              </w:rPr>
                              <w:t>COVID-19 hub</w:t>
                            </w:r>
                          </w:hyperlink>
                          <w:r w:rsidRPr="0022352A">
                            <w:rPr>
                              <w:rFonts w:asciiTheme="majorHAnsi" w:hAnsiTheme="majorHAnsi" w:cstheme="majorHAnsi"/>
                              <w:caps/>
                              <w:sz w:val="22"/>
                              <w:szCs w:val="22"/>
                            </w:rPr>
                            <w:t xml:space="preserve"> </w:t>
                          </w:r>
                          <w:r w:rsidRPr="0022352A">
                            <w:rPr>
                              <w:rFonts w:asciiTheme="majorHAnsi" w:hAnsiTheme="majorHAnsi" w:cstheme="majorHAnsi"/>
                              <w:b w:val="0"/>
                              <w:bCs w:val="0"/>
                              <w:color w:val="3C3835"/>
                              <w:sz w:val="22"/>
                              <w:szCs w:val="22"/>
                            </w:rPr>
                            <w:t>on our website</w:t>
                          </w:r>
                        </w:p>
                      </w:txbxContent>
                    </v:textbox>
                    <w10:wrap anchorx="margin"/>
                  </v:shape>
                </w:pict>
              </mc:Fallback>
            </mc:AlternateContent>
          </w:r>
          <w:r w:rsidR="00663EFD" w:rsidRPr="00166D67">
            <w:rPr>
              <w:b/>
              <w:sz w:val="17"/>
              <w:szCs w:val="17"/>
            </w:rPr>
            <w:br w:type="page"/>
          </w:r>
        </w:p>
      </w:sdtContent>
    </w:sdt>
    <w:p w14:paraId="4BEBB3E2" w14:textId="77777777" w:rsidR="00872203" w:rsidRPr="00166D67" w:rsidRDefault="00872203" w:rsidP="0059185F">
      <w:pPr>
        <w:spacing w:line="240" w:lineRule="auto"/>
        <w:jc w:val="left"/>
        <w:rPr>
          <w:sz w:val="17"/>
          <w:szCs w:val="17"/>
        </w:rPr>
      </w:pPr>
    </w:p>
    <w:tbl>
      <w:tblPr>
        <w:tblStyle w:val="ALGTable"/>
        <w:tblW w:w="12474" w:type="dxa"/>
        <w:tblInd w:w="1980" w:type="dxa"/>
        <w:tblBorders>
          <w:top w:val="none" w:sz="0" w:space="0" w:color="auto"/>
          <w:left w:val="none" w:sz="0" w:space="0" w:color="auto"/>
          <w:bottom w:val="none" w:sz="0" w:space="0" w:color="auto"/>
          <w:right w:val="none" w:sz="0" w:space="0" w:color="auto"/>
          <w:insideH w:val="single" w:sz="4" w:space="0" w:color="78716C" w:themeColor="accent5"/>
          <w:insideV w:val="none" w:sz="0" w:space="0" w:color="auto"/>
        </w:tblBorders>
        <w:tblLook w:val="04A0" w:firstRow="1" w:lastRow="0" w:firstColumn="1" w:lastColumn="0" w:noHBand="0" w:noVBand="1"/>
      </w:tblPr>
      <w:tblGrid>
        <w:gridCol w:w="1097"/>
        <w:gridCol w:w="1880"/>
        <w:gridCol w:w="1819"/>
        <w:gridCol w:w="2155"/>
        <w:gridCol w:w="5523"/>
      </w:tblGrid>
      <w:tr w:rsidR="00AE0E00" w:rsidRPr="00166D67" w14:paraId="1F350DAA" w14:textId="77777777" w:rsidTr="003E651E">
        <w:trPr>
          <w:cnfStyle w:val="100000000000" w:firstRow="1" w:lastRow="0" w:firstColumn="0" w:lastColumn="0" w:oddVBand="0" w:evenVBand="0" w:oddHBand="0" w:evenHBand="0" w:firstRowFirstColumn="0" w:firstRowLastColumn="0" w:lastRowFirstColumn="0" w:lastRowLastColumn="0"/>
          <w:cantSplit/>
          <w:tblHeader/>
        </w:trPr>
        <w:tc>
          <w:tcPr>
            <w:tcW w:w="1097" w:type="dxa"/>
            <w:shd w:val="clear" w:color="auto" w:fill="D9D9D9" w:themeFill="background1" w:themeFillShade="D9"/>
          </w:tcPr>
          <w:p w14:paraId="2C60B74D" w14:textId="77777777" w:rsidR="005149C7" w:rsidRPr="007F1827" w:rsidRDefault="005149C7" w:rsidP="0059185F">
            <w:pPr>
              <w:jc w:val="left"/>
              <w:rPr>
                <w:b/>
                <w:sz w:val="17"/>
                <w:szCs w:val="17"/>
              </w:rPr>
            </w:pPr>
            <w:r w:rsidRPr="007F1827">
              <w:rPr>
                <w:b/>
                <w:sz w:val="17"/>
                <w:szCs w:val="17"/>
              </w:rPr>
              <w:t>Date</w:t>
            </w:r>
          </w:p>
        </w:tc>
        <w:tc>
          <w:tcPr>
            <w:tcW w:w="1880" w:type="dxa"/>
            <w:shd w:val="clear" w:color="auto" w:fill="D9D9D9" w:themeFill="background1" w:themeFillShade="D9"/>
          </w:tcPr>
          <w:p w14:paraId="1564C26B" w14:textId="77777777" w:rsidR="005149C7" w:rsidRPr="00166D67" w:rsidRDefault="005149C7" w:rsidP="0059185F">
            <w:pPr>
              <w:jc w:val="left"/>
              <w:rPr>
                <w:b/>
                <w:sz w:val="17"/>
                <w:szCs w:val="17"/>
              </w:rPr>
            </w:pPr>
            <w:r w:rsidRPr="00166D67">
              <w:rPr>
                <w:b/>
                <w:sz w:val="17"/>
                <w:szCs w:val="17"/>
              </w:rPr>
              <w:t>Description of Statement / Press Release</w:t>
            </w:r>
          </w:p>
        </w:tc>
        <w:tc>
          <w:tcPr>
            <w:tcW w:w="1819" w:type="dxa"/>
            <w:shd w:val="clear" w:color="auto" w:fill="D9D9D9" w:themeFill="background1" w:themeFillShade="D9"/>
          </w:tcPr>
          <w:p w14:paraId="5583343F" w14:textId="77777777" w:rsidR="005149C7" w:rsidRPr="00166D67" w:rsidRDefault="005149C7" w:rsidP="0059185F">
            <w:pPr>
              <w:jc w:val="left"/>
              <w:rPr>
                <w:b/>
                <w:sz w:val="17"/>
                <w:szCs w:val="17"/>
              </w:rPr>
            </w:pPr>
            <w:r w:rsidRPr="00166D67">
              <w:rPr>
                <w:b/>
                <w:sz w:val="17"/>
                <w:szCs w:val="17"/>
              </w:rPr>
              <w:t>ALG COVID-19 Hub Resource</w:t>
            </w:r>
          </w:p>
        </w:tc>
        <w:tc>
          <w:tcPr>
            <w:tcW w:w="2155" w:type="dxa"/>
            <w:shd w:val="clear" w:color="auto" w:fill="D9D9D9" w:themeFill="background1" w:themeFillShade="D9"/>
          </w:tcPr>
          <w:p w14:paraId="257849A0" w14:textId="77777777" w:rsidR="005149C7" w:rsidRPr="00166D67" w:rsidRDefault="006579A2" w:rsidP="0059185F">
            <w:pPr>
              <w:jc w:val="left"/>
              <w:rPr>
                <w:b/>
                <w:sz w:val="17"/>
                <w:szCs w:val="17"/>
              </w:rPr>
            </w:pPr>
            <w:r w:rsidRPr="00166D67">
              <w:rPr>
                <w:b/>
                <w:sz w:val="17"/>
                <w:szCs w:val="17"/>
              </w:rPr>
              <w:t>Impacted Entity Type(s)</w:t>
            </w:r>
          </w:p>
        </w:tc>
        <w:tc>
          <w:tcPr>
            <w:tcW w:w="5523" w:type="dxa"/>
            <w:shd w:val="clear" w:color="auto" w:fill="D9D9D9" w:themeFill="background1" w:themeFillShade="D9"/>
          </w:tcPr>
          <w:p w14:paraId="12AD58D1" w14:textId="77777777" w:rsidR="005149C7" w:rsidRPr="00166D67" w:rsidRDefault="005149C7" w:rsidP="0059185F">
            <w:pPr>
              <w:jc w:val="left"/>
              <w:rPr>
                <w:b/>
                <w:sz w:val="17"/>
                <w:szCs w:val="17"/>
              </w:rPr>
            </w:pPr>
            <w:r w:rsidRPr="00166D67">
              <w:rPr>
                <w:b/>
                <w:sz w:val="17"/>
                <w:szCs w:val="17"/>
              </w:rPr>
              <w:t>Key Statements / Measures Announced</w:t>
            </w:r>
          </w:p>
        </w:tc>
      </w:tr>
      <w:tr w:rsidR="007C36ED" w:rsidRPr="00166D67" w14:paraId="020D5006" w14:textId="77777777" w:rsidTr="001701F9">
        <w:trPr>
          <w:cantSplit/>
        </w:trPr>
        <w:tc>
          <w:tcPr>
            <w:tcW w:w="12474" w:type="dxa"/>
            <w:gridSpan w:val="5"/>
            <w:shd w:val="clear" w:color="auto" w:fill="2CD5C4" w:themeFill="accent1"/>
          </w:tcPr>
          <w:p w14:paraId="5159EE06" w14:textId="77777777" w:rsidR="007C36ED" w:rsidRPr="007F1827" w:rsidRDefault="007C36ED" w:rsidP="0059185F">
            <w:pPr>
              <w:jc w:val="left"/>
              <w:rPr>
                <w:b/>
                <w:sz w:val="17"/>
                <w:szCs w:val="17"/>
              </w:rPr>
            </w:pPr>
            <w:r w:rsidRPr="007F1827">
              <w:rPr>
                <w:b/>
                <w:sz w:val="17"/>
                <w:szCs w:val="17"/>
              </w:rPr>
              <w:t>Central Bank of Ireland (CBI)</w:t>
            </w:r>
          </w:p>
        </w:tc>
      </w:tr>
      <w:tr w:rsidR="005149C7" w:rsidRPr="00166D67" w14:paraId="07993B4F" w14:textId="77777777" w:rsidTr="001701F9">
        <w:trPr>
          <w:cantSplit/>
        </w:trPr>
        <w:tc>
          <w:tcPr>
            <w:tcW w:w="1097" w:type="dxa"/>
          </w:tcPr>
          <w:p w14:paraId="53C3A29C" w14:textId="4BE3E103" w:rsidR="005149C7" w:rsidRPr="007F1827" w:rsidRDefault="0022352A" w:rsidP="0059185F">
            <w:pPr>
              <w:jc w:val="left"/>
              <w:rPr>
                <w:b/>
                <w:sz w:val="17"/>
                <w:szCs w:val="17"/>
              </w:rPr>
            </w:pPr>
            <w:r>
              <w:rPr>
                <w:b/>
                <w:sz w:val="17"/>
                <w:szCs w:val="17"/>
              </w:rPr>
              <w:t xml:space="preserve"> </w:t>
            </w:r>
            <w:r w:rsidR="005149C7" w:rsidRPr="007F1827">
              <w:rPr>
                <w:b/>
                <w:sz w:val="17"/>
                <w:szCs w:val="17"/>
              </w:rPr>
              <w:t>4 March 2020</w:t>
            </w:r>
          </w:p>
        </w:tc>
        <w:tc>
          <w:tcPr>
            <w:tcW w:w="1880" w:type="dxa"/>
          </w:tcPr>
          <w:p w14:paraId="13422FDD" w14:textId="77777777" w:rsidR="005149C7" w:rsidRPr="00166D67" w:rsidRDefault="00A324C3" w:rsidP="0059185F">
            <w:pPr>
              <w:jc w:val="left"/>
              <w:rPr>
                <w:sz w:val="17"/>
                <w:szCs w:val="17"/>
              </w:rPr>
            </w:pPr>
            <w:hyperlink r:id="rId11" w:history="1">
              <w:r w:rsidR="005149C7" w:rsidRPr="00166D67">
                <w:rPr>
                  <w:rStyle w:val="Hyperlink"/>
                  <w:sz w:val="17"/>
                  <w:szCs w:val="17"/>
                </w:rPr>
                <w:t>Statement: COVID-19 Virus</w:t>
              </w:r>
            </w:hyperlink>
          </w:p>
        </w:tc>
        <w:tc>
          <w:tcPr>
            <w:tcW w:w="1819" w:type="dxa"/>
          </w:tcPr>
          <w:p w14:paraId="6D32FF0F" w14:textId="77777777" w:rsidR="005149C7" w:rsidRPr="00166D67" w:rsidRDefault="00A324C3" w:rsidP="0059185F">
            <w:pPr>
              <w:jc w:val="left"/>
              <w:rPr>
                <w:sz w:val="17"/>
                <w:szCs w:val="17"/>
              </w:rPr>
            </w:pPr>
            <w:hyperlink r:id="rId12" w:history="1">
              <w:r w:rsidR="005149C7" w:rsidRPr="00166D67">
                <w:rPr>
                  <w:rStyle w:val="Hyperlink"/>
                  <w:sz w:val="17"/>
                  <w:szCs w:val="17"/>
                </w:rPr>
                <w:t>COVID 19: CBI Statement</w:t>
              </w:r>
            </w:hyperlink>
          </w:p>
        </w:tc>
        <w:tc>
          <w:tcPr>
            <w:tcW w:w="2155" w:type="dxa"/>
          </w:tcPr>
          <w:p w14:paraId="586FD11E" w14:textId="77777777" w:rsidR="005149C7" w:rsidRPr="00166D67" w:rsidRDefault="006579A2" w:rsidP="0059185F">
            <w:pPr>
              <w:jc w:val="left"/>
              <w:rPr>
                <w:sz w:val="17"/>
                <w:szCs w:val="17"/>
              </w:rPr>
            </w:pPr>
            <w:r w:rsidRPr="00166D67">
              <w:rPr>
                <w:sz w:val="17"/>
                <w:szCs w:val="17"/>
              </w:rPr>
              <w:t>All Regulated Financial Services Providers</w:t>
            </w:r>
          </w:p>
        </w:tc>
        <w:tc>
          <w:tcPr>
            <w:tcW w:w="5523" w:type="dxa"/>
          </w:tcPr>
          <w:p w14:paraId="54B650AD" w14:textId="77777777" w:rsidR="005149C7" w:rsidRPr="00166D67" w:rsidRDefault="005149C7" w:rsidP="0059185F">
            <w:pPr>
              <w:jc w:val="left"/>
              <w:rPr>
                <w:sz w:val="17"/>
                <w:szCs w:val="17"/>
              </w:rPr>
            </w:pPr>
            <w:r w:rsidRPr="00166D67">
              <w:rPr>
                <w:sz w:val="17"/>
                <w:szCs w:val="17"/>
              </w:rPr>
              <w:t xml:space="preserve">The CBI is closely monitoring the evolving situation and </w:t>
            </w:r>
            <w:r w:rsidRPr="00166D67">
              <w:rPr>
                <w:b/>
                <w:sz w:val="17"/>
                <w:szCs w:val="17"/>
              </w:rPr>
              <w:t>expects regulated firms to have appropriate contingency plans in place to be able to deal with major operational events</w:t>
            </w:r>
            <w:r w:rsidRPr="00166D67">
              <w:rPr>
                <w:sz w:val="17"/>
                <w:szCs w:val="17"/>
              </w:rPr>
              <w:t>.</w:t>
            </w:r>
          </w:p>
          <w:p w14:paraId="7141E273" w14:textId="054ADDE7" w:rsidR="005149C7" w:rsidRPr="00166D67" w:rsidRDefault="005149C7" w:rsidP="0059185F">
            <w:pPr>
              <w:jc w:val="left"/>
              <w:rPr>
                <w:sz w:val="17"/>
                <w:szCs w:val="17"/>
              </w:rPr>
            </w:pPr>
            <w:r w:rsidRPr="00166D67">
              <w:rPr>
                <w:sz w:val="17"/>
                <w:szCs w:val="17"/>
              </w:rPr>
              <w:t>The CBI stated it is ready to work</w:t>
            </w:r>
            <w:r w:rsidR="00C17E9D" w:rsidRPr="00166D67">
              <w:rPr>
                <w:sz w:val="17"/>
                <w:szCs w:val="17"/>
              </w:rPr>
              <w:t xml:space="preserve"> with</w:t>
            </w:r>
            <w:r w:rsidRPr="00166D67">
              <w:rPr>
                <w:sz w:val="17"/>
                <w:szCs w:val="17"/>
              </w:rPr>
              <w:t xml:space="preserve"> the ECB other central banks to take appropriate and targeted measures, as necessary.</w:t>
            </w:r>
          </w:p>
        </w:tc>
      </w:tr>
      <w:tr w:rsidR="00F20CAB" w:rsidRPr="00166D67" w14:paraId="14D4F787" w14:textId="77777777" w:rsidTr="001701F9">
        <w:trPr>
          <w:cantSplit/>
        </w:trPr>
        <w:tc>
          <w:tcPr>
            <w:tcW w:w="1097" w:type="dxa"/>
          </w:tcPr>
          <w:p w14:paraId="1C84FDF9" w14:textId="77777777" w:rsidR="00F20CAB" w:rsidRPr="007F1827" w:rsidRDefault="00F20CAB" w:rsidP="0059185F">
            <w:pPr>
              <w:jc w:val="left"/>
              <w:rPr>
                <w:b/>
                <w:sz w:val="17"/>
                <w:szCs w:val="17"/>
              </w:rPr>
            </w:pPr>
            <w:r w:rsidRPr="007F1827">
              <w:rPr>
                <w:b/>
                <w:sz w:val="17"/>
                <w:szCs w:val="17"/>
              </w:rPr>
              <w:t>13 March 2020</w:t>
            </w:r>
          </w:p>
        </w:tc>
        <w:tc>
          <w:tcPr>
            <w:tcW w:w="1880" w:type="dxa"/>
          </w:tcPr>
          <w:p w14:paraId="350FFCBE" w14:textId="77777777" w:rsidR="00F20CAB" w:rsidRPr="00166D67" w:rsidRDefault="00A324C3" w:rsidP="0059185F">
            <w:pPr>
              <w:jc w:val="left"/>
              <w:rPr>
                <w:sz w:val="17"/>
                <w:szCs w:val="17"/>
              </w:rPr>
            </w:pPr>
            <w:hyperlink r:id="rId13" w:history="1">
              <w:r w:rsidR="00F20CAB" w:rsidRPr="00166D67">
                <w:rPr>
                  <w:rStyle w:val="Hyperlink"/>
                  <w:sz w:val="17"/>
                  <w:szCs w:val="17"/>
                </w:rPr>
                <w:t xml:space="preserve">Statement by the Governor of the Central Bank of Ireland, Gabriel </w:t>
              </w:r>
              <w:proofErr w:type="spellStart"/>
              <w:r w:rsidR="00F20CAB" w:rsidRPr="00166D67">
                <w:rPr>
                  <w:rStyle w:val="Hyperlink"/>
                  <w:sz w:val="17"/>
                  <w:szCs w:val="17"/>
                </w:rPr>
                <w:t>Makhlouf</w:t>
              </w:r>
              <w:proofErr w:type="spellEnd"/>
            </w:hyperlink>
          </w:p>
        </w:tc>
        <w:tc>
          <w:tcPr>
            <w:tcW w:w="1819" w:type="dxa"/>
          </w:tcPr>
          <w:p w14:paraId="415FE335" w14:textId="77777777" w:rsidR="00F20CAB" w:rsidRPr="00166D67" w:rsidRDefault="00F20CAB" w:rsidP="0059185F">
            <w:pPr>
              <w:jc w:val="left"/>
              <w:rPr>
                <w:sz w:val="17"/>
                <w:szCs w:val="17"/>
              </w:rPr>
            </w:pPr>
          </w:p>
        </w:tc>
        <w:tc>
          <w:tcPr>
            <w:tcW w:w="2155" w:type="dxa"/>
          </w:tcPr>
          <w:p w14:paraId="169C4E75" w14:textId="77777777" w:rsidR="00F20CAB" w:rsidRPr="00166D67" w:rsidRDefault="00F20CAB" w:rsidP="0059185F">
            <w:pPr>
              <w:jc w:val="left"/>
              <w:rPr>
                <w:sz w:val="17"/>
                <w:szCs w:val="17"/>
              </w:rPr>
            </w:pPr>
            <w:r w:rsidRPr="00166D67">
              <w:rPr>
                <w:sz w:val="17"/>
                <w:szCs w:val="17"/>
              </w:rPr>
              <w:t xml:space="preserve">All Regulated Financial Services Providers, but particularly Credit Institutions </w:t>
            </w:r>
          </w:p>
        </w:tc>
        <w:tc>
          <w:tcPr>
            <w:tcW w:w="5523" w:type="dxa"/>
          </w:tcPr>
          <w:p w14:paraId="057AAF0E" w14:textId="77777777" w:rsidR="00F20CAB" w:rsidRPr="00166D67" w:rsidRDefault="00F20CAB" w:rsidP="0059185F">
            <w:pPr>
              <w:jc w:val="left"/>
              <w:rPr>
                <w:sz w:val="17"/>
                <w:szCs w:val="17"/>
              </w:rPr>
            </w:pPr>
            <w:r w:rsidRPr="00166D67">
              <w:rPr>
                <w:sz w:val="17"/>
                <w:szCs w:val="17"/>
              </w:rPr>
              <w:t xml:space="preserve">CBI Governor Gabriel </w:t>
            </w:r>
            <w:proofErr w:type="spellStart"/>
            <w:r w:rsidRPr="00166D67">
              <w:rPr>
                <w:sz w:val="17"/>
                <w:szCs w:val="17"/>
              </w:rPr>
              <w:t>Makhlouf</w:t>
            </w:r>
            <w:proofErr w:type="spellEnd"/>
            <w:r w:rsidRPr="00166D67">
              <w:rPr>
                <w:sz w:val="17"/>
                <w:szCs w:val="17"/>
              </w:rPr>
              <w:t xml:space="preserve"> referred to the measures introduced by the ECB's Governing Council on 12 March 2020 aimed at supporting households and firms affected by the economic impact of the pandemic.</w:t>
            </w:r>
          </w:p>
          <w:p w14:paraId="4E9A69AD" w14:textId="71EA0EC6" w:rsidR="00F20CAB" w:rsidRPr="00166D67" w:rsidRDefault="00F20CAB" w:rsidP="0059185F">
            <w:pPr>
              <w:jc w:val="left"/>
              <w:rPr>
                <w:sz w:val="17"/>
                <w:szCs w:val="17"/>
              </w:rPr>
            </w:pPr>
            <w:r w:rsidRPr="00166D67">
              <w:rPr>
                <w:sz w:val="17"/>
                <w:szCs w:val="17"/>
              </w:rPr>
              <w:t xml:space="preserve">He stated that the CBI </w:t>
            </w:r>
            <w:r w:rsidRPr="00166D67">
              <w:rPr>
                <w:b/>
                <w:sz w:val="17"/>
                <w:szCs w:val="17"/>
              </w:rPr>
              <w:t>expects banks to use the positive effects of these measures to support the economy and not to increase dividend distributions or variable remunerations</w:t>
            </w:r>
            <w:r w:rsidRPr="00166D67">
              <w:rPr>
                <w:sz w:val="17"/>
                <w:szCs w:val="17"/>
              </w:rPr>
              <w:t>.</w:t>
            </w:r>
            <w:r w:rsidR="00ED4507" w:rsidRPr="00166D67">
              <w:rPr>
                <w:sz w:val="17"/>
                <w:szCs w:val="17"/>
              </w:rPr>
              <w:t xml:space="preserve"> This reiterates the expectation of the ECB as stated on 12 March 2020 (see </w:t>
            </w:r>
            <w:r w:rsidR="00A07125" w:rsidRPr="00166D67">
              <w:rPr>
                <w:sz w:val="17"/>
                <w:szCs w:val="17"/>
              </w:rPr>
              <w:t xml:space="preserve">statement </w:t>
            </w:r>
            <w:r w:rsidR="00ED4507" w:rsidRPr="00166D67">
              <w:rPr>
                <w:sz w:val="17"/>
                <w:szCs w:val="17"/>
              </w:rPr>
              <w:t>below). The expectation is also reflected in the EBA's request for banks to refrain from dividends distribution or share buybacks for the purpose of remunerating shareholders (see statement of 31 March 2020 below).</w:t>
            </w:r>
          </w:p>
        </w:tc>
      </w:tr>
      <w:tr w:rsidR="00F20CAB" w:rsidRPr="00166D67" w14:paraId="1FCF8CB2" w14:textId="77777777" w:rsidTr="001701F9">
        <w:trPr>
          <w:cantSplit/>
        </w:trPr>
        <w:tc>
          <w:tcPr>
            <w:tcW w:w="1097" w:type="dxa"/>
          </w:tcPr>
          <w:p w14:paraId="4928BC2D" w14:textId="77777777" w:rsidR="00F20CAB" w:rsidRPr="007F1827" w:rsidRDefault="00F20CAB" w:rsidP="0059185F">
            <w:pPr>
              <w:jc w:val="left"/>
              <w:rPr>
                <w:b/>
                <w:sz w:val="17"/>
                <w:szCs w:val="17"/>
              </w:rPr>
            </w:pPr>
            <w:r w:rsidRPr="007F1827">
              <w:rPr>
                <w:b/>
                <w:sz w:val="17"/>
                <w:szCs w:val="17"/>
              </w:rPr>
              <w:t>18 March 2020</w:t>
            </w:r>
          </w:p>
        </w:tc>
        <w:tc>
          <w:tcPr>
            <w:tcW w:w="1880" w:type="dxa"/>
          </w:tcPr>
          <w:p w14:paraId="3AC7E4C9" w14:textId="77777777" w:rsidR="00F20CAB" w:rsidRPr="00166D67" w:rsidRDefault="00A324C3" w:rsidP="0059185F">
            <w:pPr>
              <w:jc w:val="left"/>
              <w:rPr>
                <w:sz w:val="17"/>
                <w:szCs w:val="17"/>
              </w:rPr>
            </w:pPr>
            <w:hyperlink r:id="rId14" w:history="1">
              <w:r w:rsidR="00F20CAB" w:rsidRPr="00166D67">
                <w:rPr>
                  <w:rStyle w:val="Hyperlink"/>
                  <w:sz w:val="17"/>
                  <w:szCs w:val="17"/>
                </w:rPr>
                <w:t>Central Bank of Ireland</w:t>
              </w:r>
            </w:hyperlink>
            <w:r w:rsidR="00F20CAB" w:rsidRPr="00166D67">
              <w:rPr>
                <w:rStyle w:val="Hyperlink"/>
                <w:sz w:val="17"/>
                <w:szCs w:val="17"/>
              </w:rPr>
              <w:t xml:space="preserve"> releases Counter Cyclical Capital Buffer</w:t>
            </w:r>
          </w:p>
        </w:tc>
        <w:tc>
          <w:tcPr>
            <w:tcW w:w="1819" w:type="dxa"/>
          </w:tcPr>
          <w:p w14:paraId="21A0D614" w14:textId="77777777" w:rsidR="00F20CAB" w:rsidRPr="00166D67" w:rsidRDefault="00A324C3" w:rsidP="0059185F">
            <w:pPr>
              <w:jc w:val="left"/>
              <w:rPr>
                <w:sz w:val="17"/>
                <w:szCs w:val="17"/>
              </w:rPr>
            </w:pPr>
            <w:hyperlink r:id="rId15" w:history="1">
              <w:r w:rsidR="00F20CAB" w:rsidRPr="00166D67">
                <w:rPr>
                  <w:rStyle w:val="Hyperlink"/>
                  <w:sz w:val="17"/>
                  <w:szCs w:val="17"/>
                </w:rPr>
                <w:t>COVID-19: Central Bank releases capital buffer</w:t>
              </w:r>
            </w:hyperlink>
          </w:p>
        </w:tc>
        <w:tc>
          <w:tcPr>
            <w:tcW w:w="2155" w:type="dxa"/>
          </w:tcPr>
          <w:p w14:paraId="324175B0" w14:textId="77777777" w:rsidR="00F20CAB" w:rsidRPr="00166D67" w:rsidRDefault="00F20CAB" w:rsidP="0059185F">
            <w:pPr>
              <w:jc w:val="left"/>
              <w:rPr>
                <w:sz w:val="17"/>
                <w:szCs w:val="17"/>
              </w:rPr>
            </w:pPr>
            <w:r w:rsidRPr="00166D67">
              <w:rPr>
                <w:sz w:val="17"/>
                <w:szCs w:val="17"/>
              </w:rPr>
              <w:t>Credit Institutions</w:t>
            </w:r>
          </w:p>
        </w:tc>
        <w:tc>
          <w:tcPr>
            <w:tcW w:w="5523" w:type="dxa"/>
          </w:tcPr>
          <w:p w14:paraId="144CB22A" w14:textId="77777777" w:rsidR="00F20CAB" w:rsidRPr="00166D67" w:rsidRDefault="00F20CAB" w:rsidP="0059185F">
            <w:pPr>
              <w:jc w:val="left"/>
              <w:rPr>
                <w:sz w:val="17"/>
                <w:szCs w:val="17"/>
              </w:rPr>
            </w:pPr>
            <w:r w:rsidRPr="00166D67">
              <w:rPr>
                <w:sz w:val="17"/>
                <w:szCs w:val="17"/>
              </w:rPr>
              <w:t xml:space="preserve">The CBI has </w:t>
            </w:r>
            <w:r w:rsidRPr="00166D67">
              <w:rPr>
                <w:b/>
                <w:sz w:val="17"/>
                <w:szCs w:val="17"/>
              </w:rPr>
              <w:t>released the Counter Cyclical Capital Buffer</w:t>
            </w:r>
            <w:r w:rsidRPr="00166D67">
              <w:rPr>
                <w:sz w:val="17"/>
                <w:szCs w:val="17"/>
              </w:rPr>
              <w:t xml:space="preserve"> (</w:t>
            </w:r>
            <w:proofErr w:type="spellStart"/>
            <w:r w:rsidRPr="00166D67">
              <w:rPr>
                <w:b/>
                <w:sz w:val="17"/>
                <w:szCs w:val="17"/>
              </w:rPr>
              <w:t>CCyB</w:t>
            </w:r>
            <w:proofErr w:type="spellEnd"/>
            <w:r w:rsidRPr="00166D67">
              <w:rPr>
                <w:sz w:val="17"/>
                <w:szCs w:val="17"/>
              </w:rPr>
              <w:t xml:space="preserve">), which banks are required to hold in order to support the continued provision of credit to households and businesses. The </w:t>
            </w:r>
            <w:proofErr w:type="spellStart"/>
            <w:r w:rsidRPr="00166D67">
              <w:rPr>
                <w:sz w:val="17"/>
                <w:szCs w:val="17"/>
              </w:rPr>
              <w:t>CCyB</w:t>
            </w:r>
            <w:proofErr w:type="spellEnd"/>
            <w:r w:rsidRPr="00166D67">
              <w:rPr>
                <w:sz w:val="17"/>
                <w:szCs w:val="17"/>
              </w:rPr>
              <w:t xml:space="preserve"> is a time-varying capital requirement and will be reduced from 1% to 0% no later than </w:t>
            </w:r>
            <w:r w:rsidRPr="00166D67">
              <w:rPr>
                <w:b/>
                <w:sz w:val="17"/>
                <w:szCs w:val="17"/>
              </w:rPr>
              <w:t>2 April 2020</w:t>
            </w:r>
            <w:r w:rsidRPr="00166D67">
              <w:rPr>
                <w:sz w:val="17"/>
                <w:szCs w:val="17"/>
              </w:rPr>
              <w:t xml:space="preserve">. The CBI does not intend to increase the </w:t>
            </w:r>
            <w:proofErr w:type="spellStart"/>
            <w:r w:rsidRPr="00166D67">
              <w:rPr>
                <w:sz w:val="17"/>
                <w:szCs w:val="17"/>
              </w:rPr>
              <w:t>CCyB</w:t>
            </w:r>
            <w:proofErr w:type="spellEnd"/>
            <w:r w:rsidRPr="00166D67">
              <w:rPr>
                <w:sz w:val="17"/>
                <w:szCs w:val="17"/>
              </w:rPr>
              <w:t xml:space="preserve"> before Q1 2021.</w:t>
            </w:r>
          </w:p>
          <w:p w14:paraId="5D5BA4D6" w14:textId="77777777" w:rsidR="00F20CAB" w:rsidRPr="00166D67" w:rsidRDefault="00F20CAB" w:rsidP="0059185F">
            <w:pPr>
              <w:jc w:val="left"/>
              <w:rPr>
                <w:sz w:val="17"/>
                <w:szCs w:val="17"/>
              </w:rPr>
            </w:pPr>
            <w:r w:rsidRPr="00166D67">
              <w:rPr>
                <w:sz w:val="17"/>
                <w:szCs w:val="17"/>
              </w:rPr>
              <w:t xml:space="preserve">The CBI </w:t>
            </w:r>
            <w:r w:rsidRPr="00166D67">
              <w:rPr>
                <w:b/>
                <w:sz w:val="17"/>
                <w:szCs w:val="17"/>
              </w:rPr>
              <w:t>expects banks to use the positive effects of these measures solely in support of the economy and not for dividend distributions</w:t>
            </w:r>
            <w:r w:rsidRPr="00166D67">
              <w:rPr>
                <w:sz w:val="17"/>
                <w:szCs w:val="17"/>
              </w:rPr>
              <w:t>.</w:t>
            </w:r>
          </w:p>
        </w:tc>
      </w:tr>
      <w:tr w:rsidR="00F20CAB" w:rsidRPr="00166D67" w14:paraId="202C52FA" w14:textId="77777777" w:rsidTr="001701F9">
        <w:trPr>
          <w:cantSplit/>
        </w:trPr>
        <w:tc>
          <w:tcPr>
            <w:tcW w:w="1097" w:type="dxa"/>
          </w:tcPr>
          <w:p w14:paraId="7855522A" w14:textId="77777777" w:rsidR="00F20CAB" w:rsidRPr="007F1827" w:rsidRDefault="00F20CAB" w:rsidP="0059185F">
            <w:pPr>
              <w:jc w:val="left"/>
              <w:rPr>
                <w:b/>
                <w:sz w:val="17"/>
                <w:szCs w:val="17"/>
              </w:rPr>
            </w:pPr>
            <w:r w:rsidRPr="007F1827">
              <w:rPr>
                <w:b/>
                <w:sz w:val="17"/>
                <w:szCs w:val="17"/>
              </w:rPr>
              <w:t>19 March 2020</w:t>
            </w:r>
          </w:p>
        </w:tc>
        <w:tc>
          <w:tcPr>
            <w:tcW w:w="1880" w:type="dxa"/>
          </w:tcPr>
          <w:p w14:paraId="7C3E1CBA" w14:textId="77777777" w:rsidR="00F20CAB" w:rsidRPr="00166D67" w:rsidRDefault="00A324C3" w:rsidP="0059185F">
            <w:pPr>
              <w:jc w:val="left"/>
              <w:rPr>
                <w:sz w:val="17"/>
                <w:szCs w:val="17"/>
              </w:rPr>
            </w:pPr>
            <w:hyperlink r:id="rId16" w:history="1">
              <w:r w:rsidR="00F20CAB" w:rsidRPr="00166D67">
                <w:rPr>
                  <w:rStyle w:val="Hyperlink"/>
                  <w:sz w:val="17"/>
                  <w:szCs w:val="17"/>
                </w:rPr>
                <w:t>Focused on protecting consumers and supporting individuals and firms in financial difficulty - Central Bank of Ireland</w:t>
              </w:r>
            </w:hyperlink>
          </w:p>
        </w:tc>
        <w:tc>
          <w:tcPr>
            <w:tcW w:w="1819" w:type="dxa"/>
          </w:tcPr>
          <w:p w14:paraId="75E0F4FE" w14:textId="3EB55114" w:rsidR="00F20CAB" w:rsidRPr="00166D67" w:rsidRDefault="00A324C3" w:rsidP="0059185F">
            <w:pPr>
              <w:jc w:val="left"/>
              <w:rPr>
                <w:sz w:val="17"/>
                <w:szCs w:val="17"/>
              </w:rPr>
            </w:pPr>
            <w:hyperlink r:id="rId17" w:history="1">
              <w:r w:rsidR="00CD2B15" w:rsidRPr="00166D67">
                <w:rPr>
                  <w:rStyle w:val="Hyperlink"/>
                  <w:sz w:val="17"/>
                  <w:szCs w:val="17"/>
                </w:rPr>
                <w:t>COVID-19 Range of banking measures announced due to the pandemic</w:t>
              </w:r>
            </w:hyperlink>
            <w:r w:rsidR="00CD2B15" w:rsidRPr="00166D67">
              <w:rPr>
                <w:sz w:val="17"/>
                <w:szCs w:val="17"/>
              </w:rPr>
              <w:t xml:space="preserve"> </w:t>
            </w:r>
          </w:p>
        </w:tc>
        <w:tc>
          <w:tcPr>
            <w:tcW w:w="2155" w:type="dxa"/>
          </w:tcPr>
          <w:p w14:paraId="5223A3FE" w14:textId="77777777" w:rsidR="00F20CAB" w:rsidRPr="00166D67" w:rsidRDefault="00F20CAB" w:rsidP="0059185F">
            <w:pPr>
              <w:jc w:val="left"/>
              <w:rPr>
                <w:sz w:val="17"/>
                <w:szCs w:val="17"/>
              </w:rPr>
            </w:pPr>
            <w:r w:rsidRPr="00166D67">
              <w:rPr>
                <w:sz w:val="17"/>
                <w:szCs w:val="17"/>
              </w:rPr>
              <w:t>Credit Institutions</w:t>
            </w:r>
          </w:p>
          <w:p w14:paraId="3C571A85" w14:textId="77777777" w:rsidR="00F20CAB" w:rsidRPr="00166D67" w:rsidRDefault="00F20CAB" w:rsidP="0059185F">
            <w:pPr>
              <w:jc w:val="left"/>
              <w:rPr>
                <w:sz w:val="17"/>
                <w:szCs w:val="17"/>
              </w:rPr>
            </w:pPr>
            <w:r w:rsidRPr="00166D67">
              <w:rPr>
                <w:sz w:val="17"/>
                <w:szCs w:val="17"/>
              </w:rPr>
              <w:t>Retail Credit Firms</w:t>
            </w:r>
          </w:p>
          <w:p w14:paraId="74A13296" w14:textId="77777777" w:rsidR="00F20CAB" w:rsidRPr="00166D67" w:rsidRDefault="00F20CAB" w:rsidP="0059185F">
            <w:pPr>
              <w:jc w:val="left"/>
              <w:rPr>
                <w:sz w:val="17"/>
                <w:szCs w:val="17"/>
              </w:rPr>
            </w:pPr>
          </w:p>
          <w:p w14:paraId="671E8F43" w14:textId="77777777" w:rsidR="00F20CAB" w:rsidRPr="00166D67" w:rsidRDefault="00F20CAB" w:rsidP="0059185F">
            <w:pPr>
              <w:jc w:val="left"/>
              <w:rPr>
                <w:sz w:val="17"/>
                <w:szCs w:val="17"/>
              </w:rPr>
            </w:pPr>
            <w:r w:rsidRPr="00166D67">
              <w:rPr>
                <w:sz w:val="17"/>
                <w:szCs w:val="17"/>
              </w:rPr>
              <w:t>Credit Servicing Firms</w:t>
            </w:r>
          </w:p>
        </w:tc>
        <w:tc>
          <w:tcPr>
            <w:tcW w:w="5523" w:type="dxa"/>
          </w:tcPr>
          <w:p w14:paraId="1A6AF767" w14:textId="77777777" w:rsidR="00F20CAB" w:rsidRPr="00166D67" w:rsidRDefault="00F20CAB" w:rsidP="0059185F">
            <w:pPr>
              <w:jc w:val="left"/>
              <w:rPr>
                <w:sz w:val="17"/>
                <w:szCs w:val="17"/>
              </w:rPr>
            </w:pPr>
            <w:r w:rsidRPr="00166D67">
              <w:rPr>
                <w:sz w:val="17"/>
                <w:szCs w:val="17"/>
              </w:rPr>
              <w:t xml:space="preserve">The CBI announced that retail banks will </w:t>
            </w:r>
            <w:r w:rsidRPr="00166D67">
              <w:rPr>
                <w:b/>
                <w:sz w:val="17"/>
                <w:szCs w:val="17"/>
              </w:rPr>
              <w:t>introduce three-month payment moratoria on all mortgages, personal and business loans for customers affected by the pandemic</w:t>
            </w:r>
            <w:r w:rsidRPr="00166D67">
              <w:rPr>
                <w:sz w:val="17"/>
                <w:szCs w:val="17"/>
              </w:rPr>
              <w:t xml:space="preserve">. The CBI expects all regulated firms, including banks, retail credit and credit servicing firms to take a </w:t>
            </w:r>
            <w:r w:rsidRPr="00166D67">
              <w:rPr>
                <w:b/>
                <w:sz w:val="17"/>
                <w:szCs w:val="17"/>
              </w:rPr>
              <w:t>consumer-focused approach and to act in their customers’ best interests</w:t>
            </w:r>
            <w:r w:rsidRPr="00166D67">
              <w:rPr>
                <w:sz w:val="17"/>
                <w:szCs w:val="17"/>
              </w:rPr>
              <w:t xml:space="preserve">. All of the </w:t>
            </w:r>
            <w:r w:rsidRPr="00166D67">
              <w:rPr>
                <w:b/>
                <w:sz w:val="17"/>
                <w:szCs w:val="17"/>
              </w:rPr>
              <w:t>existing protections for customers who face actual or potential financial difficulties continue to apply</w:t>
            </w:r>
            <w:r w:rsidRPr="00166D67">
              <w:rPr>
                <w:sz w:val="17"/>
                <w:szCs w:val="17"/>
              </w:rPr>
              <w:t>.</w:t>
            </w:r>
          </w:p>
          <w:p w14:paraId="14A1D9C7" w14:textId="77777777" w:rsidR="00F20CAB" w:rsidRPr="00166D67" w:rsidRDefault="00F20CAB" w:rsidP="0059185F">
            <w:pPr>
              <w:jc w:val="left"/>
              <w:rPr>
                <w:sz w:val="17"/>
                <w:szCs w:val="17"/>
              </w:rPr>
            </w:pPr>
            <w:r w:rsidRPr="00166D67">
              <w:rPr>
                <w:sz w:val="17"/>
                <w:szCs w:val="17"/>
              </w:rPr>
              <w:t>The CBI emphasised that resilience of the financial system in the short, medium and long term needs to be ensured so it can serve consumers and the wider economy.</w:t>
            </w:r>
          </w:p>
        </w:tc>
      </w:tr>
      <w:tr w:rsidR="00F20CAB" w:rsidRPr="00166D67" w14:paraId="59CC72E8" w14:textId="77777777" w:rsidTr="001701F9">
        <w:trPr>
          <w:cantSplit/>
        </w:trPr>
        <w:tc>
          <w:tcPr>
            <w:tcW w:w="1097" w:type="dxa"/>
          </w:tcPr>
          <w:p w14:paraId="5F7816B0" w14:textId="77777777" w:rsidR="00F20CAB" w:rsidRPr="007F1827" w:rsidRDefault="00F20CAB" w:rsidP="0059185F">
            <w:pPr>
              <w:jc w:val="left"/>
              <w:rPr>
                <w:b/>
                <w:sz w:val="17"/>
                <w:szCs w:val="17"/>
              </w:rPr>
            </w:pPr>
            <w:r w:rsidRPr="007F1827">
              <w:rPr>
                <w:b/>
                <w:sz w:val="17"/>
                <w:szCs w:val="17"/>
              </w:rPr>
              <w:t>23 March 2020</w:t>
            </w:r>
          </w:p>
        </w:tc>
        <w:tc>
          <w:tcPr>
            <w:tcW w:w="1880" w:type="dxa"/>
          </w:tcPr>
          <w:p w14:paraId="1D0B3DEC" w14:textId="77777777" w:rsidR="00F20CAB" w:rsidRPr="00166D67" w:rsidRDefault="00A324C3" w:rsidP="0059185F">
            <w:pPr>
              <w:jc w:val="left"/>
              <w:rPr>
                <w:sz w:val="17"/>
                <w:szCs w:val="17"/>
              </w:rPr>
            </w:pPr>
            <w:hyperlink r:id="rId18" w:history="1">
              <w:r w:rsidR="00F20CAB" w:rsidRPr="00166D67">
                <w:rPr>
                  <w:rStyle w:val="Hyperlink"/>
                  <w:sz w:val="17"/>
                  <w:szCs w:val="17"/>
                </w:rPr>
                <w:t xml:space="preserve">Opinion by Governor Gabriel </w:t>
              </w:r>
              <w:proofErr w:type="spellStart"/>
              <w:r w:rsidR="00F20CAB" w:rsidRPr="00166D67">
                <w:rPr>
                  <w:rStyle w:val="Hyperlink"/>
                  <w:sz w:val="17"/>
                  <w:szCs w:val="17"/>
                </w:rPr>
                <w:t>Makhlouf</w:t>
              </w:r>
              <w:proofErr w:type="spellEnd"/>
              <w:r w:rsidR="00F20CAB" w:rsidRPr="00166D67">
                <w:rPr>
                  <w:rStyle w:val="Hyperlink"/>
                  <w:sz w:val="17"/>
                  <w:szCs w:val="17"/>
                </w:rPr>
                <w:t xml:space="preserve"> in Sunday Independent</w:t>
              </w:r>
            </w:hyperlink>
          </w:p>
        </w:tc>
        <w:tc>
          <w:tcPr>
            <w:tcW w:w="1819" w:type="dxa"/>
          </w:tcPr>
          <w:p w14:paraId="5353545C" w14:textId="77777777" w:rsidR="00F20CAB" w:rsidRPr="00166D67" w:rsidRDefault="00F20CAB" w:rsidP="0059185F">
            <w:pPr>
              <w:jc w:val="left"/>
              <w:rPr>
                <w:sz w:val="17"/>
                <w:szCs w:val="17"/>
              </w:rPr>
            </w:pPr>
          </w:p>
        </w:tc>
        <w:tc>
          <w:tcPr>
            <w:tcW w:w="2155" w:type="dxa"/>
          </w:tcPr>
          <w:p w14:paraId="3ED82E28" w14:textId="77777777" w:rsidR="00F20CAB" w:rsidRPr="00166D67" w:rsidRDefault="00F20CAB" w:rsidP="0059185F">
            <w:pPr>
              <w:jc w:val="left"/>
              <w:rPr>
                <w:sz w:val="17"/>
                <w:szCs w:val="17"/>
              </w:rPr>
            </w:pPr>
            <w:r w:rsidRPr="00166D67">
              <w:rPr>
                <w:sz w:val="17"/>
                <w:szCs w:val="17"/>
              </w:rPr>
              <w:t>Credit Institutions</w:t>
            </w:r>
          </w:p>
          <w:p w14:paraId="066F7B1E" w14:textId="77777777" w:rsidR="00F20CAB" w:rsidRPr="00166D67" w:rsidRDefault="00F20CAB" w:rsidP="0059185F">
            <w:pPr>
              <w:jc w:val="left"/>
              <w:rPr>
                <w:sz w:val="17"/>
                <w:szCs w:val="17"/>
              </w:rPr>
            </w:pPr>
          </w:p>
          <w:p w14:paraId="7DD2E56B" w14:textId="77777777" w:rsidR="00F20CAB" w:rsidRPr="00166D67" w:rsidRDefault="00F20CAB" w:rsidP="0059185F">
            <w:pPr>
              <w:jc w:val="left"/>
              <w:rPr>
                <w:sz w:val="17"/>
                <w:szCs w:val="17"/>
              </w:rPr>
            </w:pPr>
            <w:r w:rsidRPr="00166D67">
              <w:rPr>
                <w:sz w:val="17"/>
                <w:szCs w:val="17"/>
              </w:rPr>
              <w:t>Retail Credit Firms</w:t>
            </w:r>
          </w:p>
          <w:p w14:paraId="1EB82A91" w14:textId="77777777" w:rsidR="00F20CAB" w:rsidRPr="00166D67" w:rsidRDefault="00F20CAB" w:rsidP="0059185F">
            <w:pPr>
              <w:jc w:val="left"/>
              <w:rPr>
                <w:sz w:val="17"/>
                <w:szCs w:val="17"/>
              </w:rPr>
            </w:pPr>
          </w:p>
          <w:p w14:paraId="1A45B759" w14:textId="77777777" w:rsidR="00F20CAB" w:rsidRPr="00166D67" w:rsidRDefault="00F20CAB" w:rsidP="0059185F">
            <w:pPr>
              <w:jc w:val="left"/>
              <w:rPr>
                <w:sz w:val="17"/>
                <w:szCs w:val="17"/>
              </w:rPr>
            </w:pPr>
            <w:r w:rsidRPr="00166D67">
              <w:rPr>
                <w:sz w:val="17"/>
                <w:szCs w:val="17"/>
              </w:rPr>
              <w:t>Credit Servicing Firms</w:t>
            </w:r>
          </w:p>
        </w:tc>
        <w:tc>
          <w:tcPr>
            <w:tcW w:w="5523" w:type="dxa"/>
          </w:tcPr>
          <w:p w14:paraId="7F978D6C" w14:textId="7D964B29" w:rsidR="00F20CAB" w:rsidRPr="00166D67" w:rsidRDefault="00F20CAB" w:rsidP="0059185F">
            <w:pPr>
              <w:jc w:val="left"/>
              <w:rPr>
                <w:sz w:val="17"/>
                <w:szCs w:val="17"/>
              </w:rPr>
            </w:pPr>
            <w:r w:rsidRPr="00166D67">
              <w:rPr>
                <w:sz w:val="17"/>
                <w:szCs w:val="17"/>
              </w:rPr>
              <w:t>An opinion piece by</w:t>
            </w:r>
            <w:r w:rsidR="00C17E9D" w:rsidRPr="00166D67">
              <w:rPr>
                <w:sz w:val="17"/>
                <w:szCs w:val="17"/>
              </w:rPr>
              <w:t xml:space="preserve"> </w:t>
            </w:r>
            <w:r w:rsidRPr="00166D67">
              <w:rPr>
                <w:sz w:val="17"/>
                <w:szCs w:val="17"/>
              </w:rPr>
              <w:t xml:space="preserve">Governor Gabriel </w:t>
            </w:r>
            <w:proofErr w:type="spellStart"/>
            <w:r w:rsidRPr="00166D67">
              <w:rPr>
                <w:sz w:val="17"/>
                <w:szCs w:val="17"/>
              </w:rPr>
              <w:t>Makhlouf</w:t>
            </w:r>
            <w:proofErr w:type="spellEnd"/>
            <w:r w:rsidRPr="00166D67">
              <w:rPr>
                <w:sz w:val="17"/>
                <w:szCs w:val="17"/>
              </w:rPr>
              <w:t xml:space="preserve"> was published in the Sunday Independent on 22 March 2020.</w:t>
            </w:r>
          </w:p>
          <w:p w14:paraId="74195BFF" w14:textId="19F210BC" w:rsidR="00F20CAB" w:rsidRPr="00166D67" w:rsidRDefault="00F20CAB" w:rsidP="0059185F">
            <w:pPr>
              <w:jc w:val="left"/>
              <w:rPr>
                <w:sz w:val="17"/>
                <w:szCs w:val="17"/>
              </w:rPr>
            </w:pPr>
            <w:r w:rsidRPr="00166D67">
              <w:rPr>
                <w:sz w:val="17"/>
                <w:szCs w:val="17"/>
              </w:rPr>
              <w:t xml:space="preserve">Governor </w:t>
            </w:r>
            <w:proofErr w:type="spellStart"/>
            <w:r w:rsidRPr="00166D67">
              <w:rPr>
                <w:sz w:val="17"/>
                <w:szCs w:val="17"/>
              </w:rPr>
              <w:t>Makhlouf</w:t>
            </w:r>
            <w:proofErr w:type="spellEnd"/>
            <w:r w:rsidRPr="00166D67">
              <w:rPr>
                <w:sz w:val="17"/>
                <w:szCs w:val="17"/>
              </w:rPr>
              <w:t xml:space="preserve"> wrote: "</w:t>
            </w:r>
            <w:r w:rsidRPr="00166D67">
              <w:rPr>
                <w:i/>
                <w:sz w:val="17"/>
                <w:szCs w:val="17"/>
              </w:rPr>
              <w:t xml:space="preserve">The </w:t>
            </w:r>
            <w:r w:rsidR="00561E2F" w:rsidRPr="00166D67">
              <w:rPr>
                <w:i/>
                <w:sz w:val="17"/>
                <w:szCs w:val="17"/>
              </w:rPr>
              <w:t>Central Bank of Ireland</w:t>
            </w:r>
            <w:r w:rsidRPr="00166D67">
              <w:rPr>
                <w:i/>
                <w:sz w:val="17"/>
                <w:szCs w:val="17"/>
              </w:rPr>
              <w:t>, working with other central banks and regulators across Europe, is playing its part to reduce the economic harm to businesses and households in the country ... Believe me when I say that we, too, will spare no effort to contain the economic effects of the crisis and do everything in our power to protect consumers, households and firms.</w:t>
            </w:r>
            <w:r w:rsidRPr="00166D67">
              <w:rPr>
                <w:sz w:val="17"/>
                <w:szCs w:val="17"/>
              </w:rPr>
              <w:t xml:space="preserve"> </w:t>
            </w:r>
            <w:r w:rsidRPr="00166D67">
              <w:rPr>
                <w:i/>
                <w:sz w:val="17"/>
                <w:szCs w:val="17"/>
              </w:rPr>
              <w:t>We have already taken significant action.</w:t>
            </w:r>
            <w:r w:rsidRPr="00166D67">
              <w:rPr>
                <w:sz w:val="17"/>
                <w:szCs w:val="17"/>
              </w:rPr>
              <w:t>"</w:t>
            </w:r>
          </w:p>
          <w:p w14:paraId="0BEB37E8" w14:textId="77777777" w:rsidR="00F20CAB" w:rsidRPr="00166D67" w:rsidRDefault="00F20CAB" w:rsidP="0059185F">
            <w:pPr>
              <w:jc w:val="left"/>
              <w:rPr>
                <w:sz w:val="17"/>
                <w:szCs w:val="17"/>
              </w:rPr>
            </w:pPr>
            <w:r w:rsidRPr="00166D67">
              <w:rPr>
                <w:sz w:val="17"/>
                <w:szCs w:val="17"/>
              </w:rPr>
              <w:t>He also noted that "</w:t>
            </w:r>
            <w:r w:rsidRPr="00166D67">
              <w:rPr>
                <w:i/>
                <w:sz w:val="17"/>
                <w:szCs w:val="17"/>
              </w:rPr>
              <w:t xml:space="preserve">Banks are introducing </w:t>
            </w:r>
            <w:r w:rsidRPr="00166D67">
              <w:rPr>
                <w:b/>
                <w:i/>
                <w:sz w:val="17"/>
                <w:szCs w:val="17"/>
              </w:rPr>
              <w:t>three-month payment breaks on mortgages, and personal and business loans</w:t>
            </w:r>
            <w:r w:rsidRPr="00166D67">
              <w:rPr>
                <w:i/>
                <w:sz w:val="17"/>
                <w:szCs w:val="17"/>
              </w:rPr>
              <w:t xml:space="preserve">, for some business and personal customers affected by COVID-19. </w:t>
            </w:r>
            <w:r w:rsidRPr="00166D67">
              <w:rPr>
                <w:b/>
                <w:i/>
                <w:sz w:val="17"/>
                <w:szCs w:val="17"/>
              </w:rPr>
              <w:t>We expect that all mortgage lenders, including non-banks, will introduce this measure. We will continue to maintain oversight of the firms we regulate, in line with our mission, to help ensure this happens</w:t>
            </w:r>
            <w:r w:rsidRPr="00166D67">
              <w:rPr>
                <w:i/>
                <w:sz w:val="17"/>
                <w:szCs w:val="17"/>
              </w:rPr>
              <w:t>."</w:t>
            </w:r>
          </w:p>
        </w:tc>
      </w:tr>
      <w:tr w:rsidR="00F20CAB" w:rsidRPr="00166D67" w14:paraId="7746759E" w14:textId="77777777" w:rsidTr="001701F9">
        <w:trPr>
          <w:cantSplit/>
        </w:trPr>
        <w:tc>
          <w:tcPr>
            <w:tcW w:w="1097" w:type="dxa"/>
          </w:tcPr>
          <w:p w14:paraId="13610DE5" w14:textId="77777777" w:rsidR="00F20CAB" w:rsidRPr="007F1827" w:rsidRDefault="00F20CAB" w:rsidP="0059185F">
            <w:pPr>
              <w:jc w:val="left"/>
              <w:rPr>
                <w:b/>
                <w:sz w:val="17"/>
                <w:szCs w:val="17"/>
              </w:rPr>
            </w:pPr>
            <w:r w:rsidRPr="007F1827">
              <w:rPr>
                <w:b/>
                <w:sz w:val="17"/>
                <w:szCs w:val="17"/>
              </w:rPr>
              <w:t>31 March 2020</w:t>
            </w:r>
          </w:p>
        </w:tc>
        <w:tc>
          <w:tcPr>
            <w:tcW w:w="1880" w:type="dxa"/>
          </w:tcPr>
          <w:p w14:paraId="0D5EB4FB" w14:textId="77777777" w:rsidR="00F20CAB" w:rsidRPr="00166D67" w:rsidRDefault="00A324C3" w:rsidP="0059185F">
            <w:pPr>
              <w:jc w:val="left"/>
              <w:rPr>
                <w:sz w:val="17"/>
                <w:szCs w:val="17"/>
              </w:rPr>
            </w:pPr>
            <w:hyperlink r:id="rId19" w:history="1">
              <w:r w:rsidR="00F20CAB" w:rsidRPr="00166D67">
                <w:rPr>
                  <w:rStyle w:val="Hyperlink"/>
                  <w:sz w:val="17"/>
                  <w:szCs w:val="17"/>
                </w:rPr>
                <w:t>Statement: Essential Services</w:t>
              </w:r>
            </w:hyperlink>
          </w:p>
        </w:tc>
        <w:tc>
          <w:tcPr>
            <w:tcW w:w="1819" w:type="dxa"/>
          </w:tcPr>
          <w:p w14:paraId="0551A9CC" w14:textId="77777777" w:rsidR="00F20CAB" w:rsidRPr="00166D67" w:rsidRDefault="00A324C3" w:rsidP="0059185F">
            <w:pPr>
              <w:jc w:val="left"/>
              <w:rPr>
                <w:sz w:val="17"/>
                <w:szCs w:val="17"/>
              </w:rPr>
            </w:pPr>
            <w:hyperlink r:id="rId20" w:history="1">
              <w:r w:rsidR="00F20CAB" w:rsidRPr="00166D67">
                <w:rPr>
                  <w:rStyle w:val="Hyperlink"/>
                  <w:sz w:val="17"/>
                  <w:szCs w:val="17"/>
                </w:rPr>
                <w:t>COVID-19: Central Bank Statement on Essential Services</w:t>
              </w:r>
            </w:hyperlink>
          </w:p>
        </w:tc>
        <w:tc>
          <w:tcPr>
            <w:tcW w:w="2155" w:type="dxa"/>
          </w:tcPr>
          <w:p w14:paraId="28EBBBD2" w14:textId="77777777" w:rsidR="00F20CAB" w:rsidRPr="00166D67" w:rsidRDefault="00F20CAB" w:rsidP="0059185F">
            <w:pPr>
              <w:jc w:val="left"/>
              <w:rPr>
                <w:sz w:val="17"/>
                <w:szCs w:val="17"/>
              </w:rPr>
            </w:pPr>
            <w:r w:rsidRPr="00166D67">
              <w:rPr>
                <w:sz w:val="17"/>
                <w:szCs w:val="17"/>
              </w:rPr>
              <w:t>All Regulated Financial Services Providers</w:t>
            </w:r>
          </w:p>
        </w:tc>
        <w:tc>
          <w:tcPr>
            <w:tcW w:w="5523" w:type="dxa"/>
          </w:tcPr>
          <w:p w14:paraId="7691306B" w14:textId="77777777" w:rsidR="00F20CAB" w:rsidRPr="00166D67" w:rsidRDefault="00F20CAB" w:rsidP="0059185F">
            <w:pPr>
              <w:jc w:val="left"/>
              <w:rPr>
                <w:sz w:val="17"/>
                <w:szCs w:val="17"/>
              </w:rPr>
            </w:pPr>
            <w:r w:rsidRPr="00166D67">
              <w:rPr>
                <w:sz w:val="17"/>
                <w:szCs w:val="17"/>
              </w:rPr>
              <w:t xml:space="preserve">The CBI referred to the list of essential services published by the Irish Government on 27 March 2020, which includes banking and financial services. The CBI </w:t>
            </w:r>
            <w:r w:rsidRPr="00166D67">
              <w:rPr>
                <w:b/>
                <w:sz w:val="17"/>
                <w:szCs w:val="17"/>
              </w:rPr>
              <w:t xml:space="preserve">expects the Chief Executive Officer or other relevant member of senior management </w:t>
            </w:r>
            <w:r w:rsidRPr="00166D67">
              <w:rPr>
                <w:sz w:val="17"/>
                <w:szCs w:val="17"/>
              </w:rPr>
              <w:t>to be accountable for ensuring an adequate process so that</w:t>
            </w:r>
            <w:r w:rsidRPr="00166D67">
              <w:rPr>
                <w:b/>
                <w:sz w:val="17"/>
                <w:szCs w:val="17"/>
              </w:rPr>
              <w:t xml:space="preserve"> only individuals in roles necessary to perform essential financial services, </w:t>
            </w:r>
            <w:r w:rsidRPr="00166D67">
              <w:rPr>
                <w:sz w:val="17"/>
                <w:szCs w:val="17"/>
              </w:rPr>
              <w:t xml:space="preserve">who cannot work remotely, are designated as essential financial services workers. </w:t>
            </w:r>
          </w:p>
          <w:p w14:paraId="3AFB5D80" w14:textId="673E6B6F" w:rsidR="00F20CAB" w:rsidRPr="00166D67" w:rsidRDefault="00F20CAB" w:rsidP="0059185F">
            <w:pPr>
              <w:jc w:val="left"/>
              <w:rPr>
                <w:sz w:val="17"/>
                <w:szCs w:val="17"/>
              </w:rPr>
            </w:pPr>
            <w:r w:rsidRPr="00166D67">
              <w:rPr>
                <w:sz w:val="17"/>
                <w:szCs w:val="17"/>
              </w:rPr>
              <w:t>The CBI expects boards and senior management to actively monitor developments in order to be able to maintain essential financial services. This includes, but is not limited to:</w:t>
            </w:r>
          </w:p>
          <w:p w14:paraId="583ECF3D" w14:textId="77777777" w:rsidR="00F20CAB" w:rsidRPr="00166D67" w:rsidRDefault="00F20CAB" w:rsidP="0059185F">
            <w:pPr>
              <w:pStyle w:val="ListParagraph"/>
              <w:numPr>
                <w:ilvl w:val="0"/>
                <w:numId w:val="10"/>
              </w:numPr>
              <w:ind w:left="357" w:hanging="357"/>
              <w:contextualSpacing w:val="0"/>
              <w:jc w:val="left"/>
              <w:rPr>
                <w:sz w:val="17"/>
                <w:szCs w:val="17"/>
              </w:rPr>
            </w:pPr>
            <w:r w:rsidRPr="00166D67">
              <w:rPr>
                <w:sz w:val="17"/>
                <w:szCs w:val="17"/>
              </w:rPr>
              <w:t xml:space="preserve">Ensuring </w:t>
            </w:r>
            <w:r w:rsidRPr="00166D67">
              <w:rPr>
                <w:b/>
                <w:sz w:val="17"/>
                <w:szCs w:val="17"/>
              </w:rPr>
              <w:t>Business Continuity Plans</w:t>
            </w:r>
            <w:r w:rsidRPr="00166D67">
              <w:rPr>
                <w:sz w:val="17"/>
                <w:szCs w:val="17"/>
              </w:rPr>
              <w:t xml:space="preserve"> are kept under review with appropriate contingency plans in the context of evolving developments both locally and globally.</w:t>
            </w:r>
          </w:p>
          <w:p w14:paraId="7CA14BE5" w14:textId="77777777" w:rsidR="00F20CAB" w:rsidRPr="00166D67" w:rsidRDefault="00F20CAB" w:rsidP="0059185F">
            <w:pPr>
              <w:pStyle w:val="ListParagraph"/>
              <w:numPr>
                <w:ilvl w:val="0"/>
                <w:numId w:val="10"/>
              </w:numPr>
              <w:ind w:left="357" w:hanging="357"/>
              <w:contextualSpacing w:val="0"/>
              <w:jc w:val="left"/>
              <w:rPr>
                <w:sz w:val="17"/>
                <w:szCs w:val="17"/>
              </w:rPr>
            </w:pPr>
            <w:r w:rsidRPr="00166D67">
              <w:rPr>
                <w:sz w:val="17"/>
                <w:szCs w:val="17"/>
              </w:rPr>
              <w:t xml:space="preserve">Ensuring appropriate </w:t>
            </w:r>
            <w:r w:rsidRPr="00166D67">
              <w:rPr>
                <w:b/>
                <w:sz w:val="17"/>
                <w:szCs w:val="17"/>
              </w:rPr>
              <w:t>designation of staff as essential financial services workers</w:t>
            </w:r>
            <w:r w:rsidRPr="00166D67">
              <w:rPr>
                <w:sz w:val="17"/>
                <w:szCs w:val="17"/>
              </w:rPr>
              <w:t xml:space="preserve"> in order to be able to rotate and/or replace essential staff as necessary.</w:t>
            </w:r>
          </w:p>
          <w:p w14:paraId="52E9903E" w14:textId="77777777" w:rsidR="00F20CAB" w:rsidRPr="00166D67" w:rsidRDefault="00F20CAB" w:rsidP="0059185F">
            <w:pPr>
              <w:pStyle w:val="ListParagraph"/>
              <w:numPr>
                <w:ilvl w:val="0"/>
                <w:numId w:val="10"/>
              </w:numPr>
              <w:ind w:left="357" w:hanging="357"/>
              <w:contextualSpacing w:val="0"/>
              <w:jc w:val="left"/>
              <w:rPr>
                <w:sz w:val="17"/>
                <w:szCs w:val="17"/>
              </w:rPr>
            </w:pPr>
            <w:r w:rsidRPr="00166D67">
              <w:rPr>
                <w:sz w:val="17"/>
                <w:szCs w:val="17"/>
              </w:rPr>
              <w:t xml:space="preserve">Engaging with </w:t>
            </w:r>
            <w:r w:rsidRPr="00166D67">
              <w:rPr>
                <w:b/>
                <w:sz w:val="17"/>
                <w:szCs w:val="17"/>
              </w:rPr>
              <w:t>critical services providers, contractors and other services</w:t>
            </w:r>
            <w:r w:rsidRPr="00166D67">
              <w:rPr>
                <w:sz w:val="17"/>
                <w:szCs w:val="17"/>
              </w:rPr>
              <w:t xml:space="preserve"> </w:t>
            </w:r>
            <w:r w:rsidRPr="00166D67">
              <w:rPr>
                <w:b/>
                <w:sz w:val="17"/>
                <w:szCs w:val="17"/>
              </w:rPr>
              <w:t>to ensure maintenance of services</w:t>
            </w:r>
            <w:r w:rsidRPr="00166D67">
              <w:rPr>
                <w:sz w:val="17"/>
                <w:szCs w:val="17"/>
              </w:rPr>
              <w:t xml:space="preserve"> and designation of their staff as essential service staff as necessary.</w:t>
            </w:r>
          </w:p>
          <w:p w14:paraId="654F84B2" w14:textId="48DA913A" w:rsidR="00F20CAB" w:rsidRPr="00166D67" w:rsidRDefault="00F20CAB" w:rsidP="0059185F">
            <w:pPr>
              <w:pStyle w:val="ListParagraph"/>
              <w:numPr>
                <w:ilvl w:val="0"/>
                <w:numId w:val="10"/>
              </w:numPr>
              <w:ind w:left="357" w:hanging="357"/>
              <w:contextualSpacing w:val="0"/>
              <w:jc w:val="left"/>
              <w:rPr>
                <w:sz w:val="17"/>
                <w:szCs w:val="17"/>
              </w:rPr>
            </w:pPr>
            <w:r w:rsidRPr="00166D67">
              <w:rPr>
                <w:sz w:val="17"/>
                <w:szCs w:val="17"/>
              </w:rPr>
              <w:t xml:space="preserve">Ensuring </w:t>
            </w:r>
            <w:r w:rsidRPr="00166D67">
              <w:rPr>
                <w:b/>
                <w:sz w:val="17"/>
                <w:szCs w:val="17"/>
              </w:rPr>
              <w:t>cooperation with other financial services providers</w:t>
            </w:r>
            <w:r w:rsidRPr="00166D67">
              <w:rPr>
                <w:sz w:val="17"/>
                <w:szCs w:val="17"/>
              </w:rPr>
              <w:t xml:space="preserve"> in order to seek to ensure continuity of essential consumer services in a service sector or region.</w:t>
            </w:r>
          </w:p>
          <w:p w14:paraId="1478BF10" w14:textId="27C301C0" w:rsidR="00C17E9D" w:rsidRPr="00166D67" w:rsidRDefault="00F20CAB" w:rsidP="0059185F">
            <w:pPr>
              <w:pStyle w:val="ListParagraph"/>
              <w:numPr>
                <w:ilvl w:val="0"/>
                <w:numId w:val="10"/>
              </w:numPr>
              <w:ind w:left="357" w:hanging="357"/>
              <w:contextualSpacing w:val="0"/>
              <w:jc w:val="left"/>
              <w:rPr>
                <w:sz w:val="17"/>
                <w:szCs w:val="17"/>
              </w:rPr>
            </w:pPr>
            <w:r w:rsidRPr="00166D67">
              <w:rPr>
                <w:b/>
                <w:sz w:val="17"/>
                <w:szCs w:val="17"/>
              </w:rPr>
              <w:t>Notifying the CBI</w:t>
            </w:r>
            <w:r w:rsidRPr="00166D67">
              <w:rPr>
                <w:sz w:val="17"/>
                <w:szCs w:val="17"/>
              </w:rPr>
              <w:t xml:space="preserve">, as soon as possible, where they believe circumstances present a </w:t>
            </w:r>
            <w:r w:rsidRPr="00166D67">
              <w:rPr>
                <w:b/>
                <w:sz w:val="17"/>
                <w:szCs w:val="17"/>
              </w:rPr>
              <w:t>risk to the maintenance of essential services</w:t>
            </w:r>
            <w:r w:rsidRPr="00166D67">
              <w:rPr>
                <w:sz w:val="17"/>
                <w:szCs w:val="17"/>
              </w:rPr>
              <w:t xml:space="preserve"> to consumers, industry or markets.</w:t>
            </w:r>
          </w:p>
        </w:tc>
      </w:tr>
      <w:tr w:rsidR="00E22C20" w:rsidRPr="00166D67" w14:paraId="1063FD77" w14:textId="77777777" w:rsidTr="001701F9">
        <w:trPr>
          <w:cantSplit/>
        </w:trPr>
        <w:tc>
          <w:tcPr>
            <w:tcW w:w="1097" w:type="dxa"/>
          </w:tcPr>
          <w:p w14:paraId="16770056" w14:textId="4259BB57" w:rsidR="00E22C20" w:rsidRPr="007F1827" w:rsidRDefault="00E22C20" w:rsidP="0059185F">
            <w:pPr>
              <w:jc w:val="left"/>
              <w:rPr>
                <w:b/>
                <w:sz w:val="17"/>
                <w:szCs w:val="17"/>
              </w:rPr>
            </w:pPr>
            <w:r w:rsidRPr="007F1827">
              <w:rPr>
                <w:b/>
                <w:sz w:val="17"/>
                <w:szCs w:val="17"/>
              </w:rPr>
              <w:t>7 April 2020</w:t>
            </w:r>
          </w:p>
        </w:tc>
        <w:tc>
          <w:tcPr>
            <w:tcW w:w="1880" w:type="dxa"/>
          </w:tcPr>
          <w:p w14:paraId="6E549943" w14:textId="46F3F1F1" w:rsidR="00E22C20" w:rsidRPr="00166D67" w:rsidRDefault="00A324C3" w:rsidP="0059185F">
            <w:pPr>
              <w:jc w:val="left"/>
              <w:rPr>
                <w:sz w:val="17"/>
                <w:szCs w:val="17"/>
              </w:rPr>
            </w:pPr>
            <w:hyperlink r:id="rId21" w:history="1">
              <w:r w:rsidR="00E22C20" w:rsidRPr="00166D67">
                <w:rPr>
                  <w:rStyle w:val="Hyperlink"/>
                  <w:sz w:val="17"/>
                  <w:szCs w:val="17"/>
                </w:rPr>
                <w:t xml:space="preserve">“Central Bank actions will contribute to easing the economic impact of the pandemic” - Governor Gabriel </w:t>
              </w:r>
              <w:proofErr w:type="spellStart"/>
              <w:r w:rsidR="00E22C20" w:rsidRPr="00166D67">
                <w:rPr>
                  <w:rStyle w:val="Hyperlink"/>
                  <w:sz w:val="17"/>
                  <w:szCs w:val="17"/>
                </w:rPr>
                <w:t>Makhlouf</w:t>
              </w:r>
              <w:proofErr w:type="spellEnd"/>
            </w:hyperlink>
          </w:p>
        </w:tc>
        <w:tc>
          <w:tcPr>
            <w:tcW w:w="1819" w:type="dxa"/>
          </w:tcPr>
          <w:p w14:paraId="3E889E1E" w14:textId="77777777" w:rsidR="00E22C20" w:rsidRPr="00166D67" w:rsidRDefault="00E22C20" w:rsidP="0059185F">
            <w:pPr>
              <w:jc w:val="left"/>
              <w:rPr>
                <w:sz w:val="17"/>
                <w:szCs w:val="17"/>
              </w:rPr>
            </w:pPr>
          </w:p>
        </w:tc>
        <w:tc>
          <w:tcPr>
            <w:tcW w:w="2155" w:type="dxa"/>
          </w:tcPr>
          <w:p w14:paraId="1A26CBA1" w14:textId="17C57B70" w:rsidR="00E22C20" w:rsidRPr="00166D67" w:rsidRDefault="00792361" w:rsidP="0059185F">
            <w:pPr>
              <w:jc w:val="left"/>
              <w:rPr>
                <w:sz w:val="17"/>
                <w:szCs w:val="17"/>
              </w:rPr>
            </w:pPr>
            <w:r w:rsidRPr="00166D67">
              <w:rPr>
                <w:sz w:val="17"/>
                <w:szCs w:val="17"/>
              </w:rPr>
              <w:t>All Regulated Financial Services Providers</w:t>
            </w:r>
          </w:p>
        </w:tc>
        <w:tc>
          <w:tcPr>
            <w:tcW w:w="5523" w:type="dxa"/>
          </w:tcPr>
          <w:p w14:paraId="20CB73FB" w14:textId="5FB580D6" w:rsidR="00E22C20" w:rsidRPr="00166D67" w:rsidRDefault="00E22C20" w:rsidP="0059185F">
            <w:pPr>
              <w:jc w:val="left"/>
              <w:rPr>
                <w:sz w:val="17"/>
                <w:szCs w:val="17"/>
              </w:rPr>
            </w:pPr>
            <w:r w:rsidRPr="00166D67">
              <w:rPr>
                <w:sz w:val="17"/>
                <w:szCs w:val="17"/>
              </w:rPr>
              <w:t>Governor</w:t>
            </w:r>
            <w:r w:rsidR="00EB2D14" w:rsidRPr="00166D67">
              <w:rPr>
                <w:sz w:val="17"/>
                <w:szCs w:val="17"/>
              </w:rPr>
              <w:t xml:space="preserve"> Gabriel</w:t>
            </w:r>
            <w:r w:rsidRPr="00166D67">
              <w:rPr>
                <w:sz w:val="17"/>
                <w:szCs w:val="17"/>
              </w:rPr>
              <w:t xml:space="preserve"> </w:t>
            </w:r>
            <w:proofErr w:type="spellStart"/>
            <w:r w:rsidRPr="00166D67">
              <w:rPr>
                <w:sz w:val="17"/>
                <w:szCs w:val="17"/>
              </w:rPr>
              <w:t>Makhlouf</w:t>
            </w:r>
            <w:proofErr w:type="spellEnd"/>
            <w:r w:rsidRPr="00166D67">
              <w:rPr>
                <w:sz w:val="17"/>
                <w:szCs w:val="17"/>
              </w:rPr>
              <w:t xml:space="preserve"> discussed two recent CBI publications: an Economic Letter entitled </w:t>
            </w:r>
            <w:hyperlink r:id="rId22" w:history="1">
              <w:r w:rsidRPr="00166D67">
                <w:rPr>
                  <w:rStyle w:val="Hyperlink"/>
                  <w:i/>
                  <w:sz w:val="17"/>
                  <w:szCs w:val="17"/>
                </w:rPr>
                <w:t>“Covid-19: monetary policy and the Irish economy”</w:t>
              </w:r>
            </w:hyperlink>
            <w:r w:rsidRPr="00166D67">
              <w:rPr>
                <w:sz w:val="17"/>
                <w:szCs w:val="17"/>
              </w:rPr>
              <w:t xml:space="preserve"> and a Financial Stability Note entitled </w:t>
            </w:r>
            <w:hyperlink r:id="rId23" w:history="1">
              <w:r w:rsidRPr="00166D67">
                <w:rPr>
                  <w:rStyle w:val="Hyperlink"/>
                  <w:i/>
                  <w:sz w:val="17"/>
                  <w:szCs w:val="17"/>
                </w:rPr>
                <w:t xml:space="preserve">“Releasing the </w:t>
              </w:r>
              <w:proofErr w:type="spellStart"/>
              <w:r w:rsidRPr="00166D67">
                <w:rPr>
                  <w:rStyle w:val="Hyperlink"/>
                  <w:i/>
                  <w:sz w:val="17"/>
                  <w:szCs w:val="17"/>
                </w:rPr>
                <w:t>CCyB</w:t>
              </w:r>
              <w:proofErr w:type="spellEnd"/>
              <w:r w:rsidRPr="00166D67">
                <w:rPr>
                  <w:rStyle w:val="Hyperlink"/>
                  <w:i/>
                  <w:sz w:val="17"/>
                  <w:szCs w:val="17"/>
                </w:rPr>
                <w:t xml:space="preserve"> to support the economy in a time of stress”</w:t>
              </w:r>
            </w:hyperlink>
            <w:r w:rsidRPr="00166D67">
              <w:rPr>
                <w:sz w:val="17"/>
                <w:szCs w:val="17"/>
              </w:rPr>
              <w:t>. The publications describe the implications of the COVID-19 pandemic for financial stability and outline</w:t>
            </w:r>
            <w:r w:rsidR="00002C11" w:rsidRPr="00166D67">
              <w:rPr>
                <w:sz w:val="17"/>
                <w:szCs w:val="17"/>
              </w:rPr>
              <w:t xml:space="preserve"> recent</w:t>
            </w:r>
            <w:r w:rsidRPr="00166D67">
              <w:rPr>
                <w:sz w:val="17"/>
                <w:szCs w:val="17"/>
              </w:rPr>
              <w:t xml:space="preserve"> monetary policy responses from the CBI and ECB.</w:t>
            </w:r>
          </w:p>
          <w:p w14:paraId="7F52DDA3" w14:textId="73EC8E86" w:rsidR="00E22C20" w:rsidRPr="00166D67" w:rsidRDefault="00EB2D14" w:rsidP="0059185F">
            <w:pPr>
              <w:jc w:val="left"/>
              <w:rPr>
                <w:sz w:val="17"/>
                <w:szCs w:val="17"/>
              </w:rPr>
            </w:pPr>
            <w:r w:rsidRPr="00166D67">
              <w:rPr>
                <w:sz w:val="17"/>
                <w:szCs w:val="17"/>
              </w:rPr>
              <w:t xml:space="preserve">Governor </w:t>
            </w:r>
            <w:proofErr w:type="spellStart"/>
            <w:r w:rsidRPr="00166D67">
              <w:rPr>
                <w:sz w:val="17"/>
                <w:szCs w:val="17"/>
              </w:rPr>
              <w:t>Makhlouf</w:t>
            </w:r>
            <w:proofErr w:type="spellEnd"/>
            <w:r w:rsidRPr="00166D67">
              <w:rPr>
                <w:sz w:val="17"/>
                <w:szCs w:val="17"/>
              </w:rPr>
              <w:t xml:space="preserve"> reiterated the CBI's commitment to containing the economic impacts of the COVID-19 crisis and to protecting consumers, households and business. He stated:</w:t>
            </w:r>
          </w:p>
          <w:p w14:paraId="5D5E9416" w14:textId="265A3535" w:rsidR="00E22C20" w:rsidRPr="00166D67" w:rsidRDefault="00EB2D14" w:rsidP="0059185F">
            <w:pPr>
              <w:jc w:val="left"/>
              <w:rPr>
                <w:sz w:val="17"/>
                <w:szCs w:val="17"/>
              </w:rPr>
            </w:pPr>
            <w:r w:rsidRPr="00166D67">
              <w:rPr>
                <w:sz w:val="17"/>
                <w:szCs w:val="17"/>
              </w:rPr>
              <w:t>"</w:t>
            </w:r>
            <w:r w:rsidRPr="00166D67">
              <w:rPr>
                <w:i/>
                <w:sz w:val="17"/>
                <w:szCs w:val="17"/>
              </w:rPr>
              <w:t>The economic challenge facing the country is enormous, but the policy response at EU and domestic level has been rapid and significant</w:t>
            </w:r>
            <w:r w:rsidRPr="00166D67">
              <w:rPr>
                <w:sz w:val="17"/>
                <w:szCs w:val="17"/>
              </w:rPr>
              <w:t>”.</w:t>
            </w:r>
          </w:p>
        </w:tc>
      </w:tr>
      <w:tr w:rsidR="00CC3474" w:rsidRPr="00166D67" w14:paraId="14FEF6B8" w14:textId="77777777" w:rsidTr="001701F9">
        <w:trPr>
          <w:cantSplit/>
        </w:trPr>
        <w:tc>
          <w:tcPr>
            <w:tcW w:w="1097" w:type="dxa"/>
          </w:tcPr>
          <w:p w14:paraId="600FD8CD" w14:textId="3FE3D536" w:rsidR="00CC3474" w:rsidRPr="007F1827" w:rsidRDefault="00CC3474" w:rsidP="0059185F">
            <w:pPr>
              <w:jc w:val="left"/>
              <w:rPr>
                <w:b/>
                <w:sz w:val="17"/>
                <w:szCs w:val="17"/>
              </w:rPr>
            </w:pPr>
            <w:r w:rsidRPr="007F1827">
              <w:rPr>
                <w:b/>
                <w:sz w:val="17"/>
                <w:szCs w:val="17"/>
              </w:rPr>
              <w:t>13 April 2020</w:t>
            </w:r>
          </w:p>
        </w:tc>
        <w:tc>
          <w:tcPr>
            <w:tcW w:w="1880" w:type="dxa"/>
          </w:tcPr>
          <w:p w14:paraId="5AFD1433" w14:textId="2BABDAB0" w:rsidR="00CC3474" w:rsidRPr="00166D67" w:rsidRDefault="00A324C3" w:rsidP="0059185F">
            <w:pPr>
              <w:jc w:val="left"/>
              <w:rPr>
                <w:sz w:val="17"/>
                <w:szCs w:val="17"/>
              </w:rPr>
            </w:pPr>
            <w:hyperlink r:id="rId24" w:history="1">
              <w:r w:rsidR="00CC3474" w:rsidRPr="00166D67">
                <w:rPr>
                  <w:rStyle w:val="Hyperlink"/>
                  <w:sz w:val="17"/>
                  <w:szCs w:val="17"/>
                </w:rPr>
                <w:t xml:space="preserve">Transcript of Governor Gabriel </w:t>
              </w:r>
              <w:proofErr w:type="spellStart"/>
              <w:r w:rsidR="00CC3474" w:rsidRPr="00166D67">
                <w:rPr>
                  <w:rStyle w:val="Hyperlink"/>
                  <w:sz w:val="17"/>
                  <w:szCs w:val="17"/>
                </w:rPr>
                <w:t>Makhlouf’s</w:t>
              </w:r>
              <w:proofErr w:type="spellEnd"/>
              <w:r w:rsidR="00CC3474" w:rsidRPr="00166D67">
                <w:rPr>
                  <w:rStyle w:val="Hyperlink"/>
                  <w:sz w:val="17"/>
                  <w:szCs w:val="17"/>
                </w:rPr>
                <w:t xml:space="preserve"> interview with Ian Guider, Markets Editor, Business Post</w:t>
              </w:r>
            </w:hyperlink>
          </w:p>
        </w:tc>
        <w:tc>
          <w:tcPr>
            <w:tcW w:w="1819" w:type="dxa"/>
          </w:tcPr>
          <w:p w14:paraId="39FCDFAA" w14:textId="77777777" w:rsidR="00CC3474" w:rsidRPr="00166D67" w:rsidRDefault="00CC3474" w:rsidP="0059185F">
            <w:pPr>
              <w:jc w:val="left"/>
              <w:rPr>
                <w:sz w:val="17"/>
                <w:szCs w:val="17"/>
              </w:rPr>
            </w:pPr>
          </w:p>
        </w:tc>
        <w:tc>
          <w:tcPr>
            <w:tcW w:w="2155" w:type="dxa"/>
          </w:tcPr>
          <w:p w14:paraId="351D4F41" w14:textId="0E1D35A8" w:rsidR="00CC3474" w:rsidRPr="00166D67" w:rsidRDefault="00792361" w:rsidP="0059185F">
            <w:pPr>
              <w:jc w:val="left"/>
              <w:rPr>
                <w:sz w:val="17"/>
                <w:szCs w:val="17"/>
              </w:rPr>
            </w:pPr>
            <w:r w:rsidRPr="00166D67">
              <w:rPr>
                <w:sz w:val="17"/>
                <w:szCs w:val="17"/>
              </w:rPr>
              <w:t>All Regulated Financial Services Providers</w:t>
            </w:r>
          </w:p>
        </w:tc>
        <w:tc>
          <w:tcPr>
            <w:tcW w:w="5523" w:type="dxa"/>
          </w:tcPr>
          <w:p w14:paraId="407649EE" w14:textId="4FFB9F3F" w:rsidR="00CC3474" w:rsidRPr="00166D67" w:rsidRDefault="00CC3474" w:rsidP="0059185F">
            <w:pPr>
              <w:jc w:val="left"/>
              <w:rPr>
                <w:sz w:val="17"/>
                <w:szCs w:val="17"/>
              </w:rPr>
            </w:pPr>
            <w:r w:rsidRPr="00166D67">
              <w:rPr>
                <w:sz w:val="17"/>
                <w:szCs w:val="17"/>
              </w:rPr>
              <w:t xml:space="preserve">The CBI published the transcript of an interview Governor </w:t>
            </w:r>
            <w:proofErr w:type="spellStart"/>
            <w:r w:rsidRPr="00166D67">
              <w:rPr>
                <w:sz w:val="17"/>
                <w:szCs w:val="17"/>
              </w:rPr>
              <w:t>Makhlouf</w:t>
            </w:r>
            <w:proofErr w:type="spellEnd"/>
            <w:r w:rsidRPr="00166D67">
              <w:rPr>
                <w:sz w:val="17"/>
                <w:szCs w:val="17"/>
              </w:rPr>
              <w:t xml:space="preserve"> held with the Business Post. Governor </w:t>
            </w:r>
            <w:proofErr w:type="spellStart"/>
            <w:r w:rsidRPr="00166D67">
              <w:rPr>
                <w:sz w:val="17"/>
                <w:szCs w:val="17"/>
              </w:rPr>
              <w:t>Makhlouf</w:t>
            </w:r>
            <w:proofErr w:type="spellEnd"/>
            <w:r w:rsidRPr="00166D67">
              <w:rPr>
                <w:sz w:val="17"/>
                <w:szCs w:val="17"/>
              </w:rPr>
              <w:t xml:space="preserve"> addressed the anticipated economic impacts of the COVID-19 pandemic and the road to recovery from these. He also discussed the measures already taken by the CBI and at an EU level to cou</w:t>
            </w:r>
            <w:r w:rsidR="005D58E0" w:rsidRPr="00166D67">
              <w:rPr>
                <w:sz w:val="17"/>
                <w:szCs w:val="17"/>
              </w:rPr>
              <w:t>nter the effects of the crisis, and the scope for further EU action in the near future.</w:t>
            </w:r>
          </w:p>
        </w:tc>
      </w:tr>
      <w:tr w:rsidR="00991238" w:rsidRPr="00166D67" w14:paraId="52CCB264" w14:textId="77777777" w:rsidTr="001701F9">
        <w:trPr>
          <w:cantSplit/>
        </w:trPr>
        <w:tc>
          <w:tcPr>
            <w:tcW w:w="1097" w:type="dxa"/>
            <w:shd w:val="clear" w:color="auto" w:fill="auto"/>
          </w:tcPr>
          <w:p w14:paraId="22A5EAFF" w14:textId="35F1D037" w:rsidR="00991238" w:rsidRPr="007F1827" w:rsidRDefault="00991238" w:rsidP="0059185F">
            <w:pPr>
              <w:jc w:val="left"/>
              <w:rPr>
                <w:b/>
                <w:sz w:val="17"/>
                <w:szCs w:val="17"/>
              </w:rPr>
            </w:pPr>
            <w:r w:rsidRPr="007F1827">
              <w:rPr>
                <w:b/>
                <w:sz w:val="17"/>
                <w:szCs w:val="17"/>
              </w:rPr>
              <w:t>15 April 2020</w:t>
            </w:r>
          </w:p>
        </w:tc>
        <w:tc>
          <w:tcPr>
            <w:tcW w:w="1880" w:type="dxa"/>
            <w:shd w:val="clear" w:color="auto" w:fill="auto"/>
          </w:tcPr>
          <w:p w14:paraId="52350344" w14:textId="0868176E" w:rsidR="00991238" w:rsidRPr="00166D67" w:rsidRDefault="00A324C3" w:rsidP="0059185F">
            <w:pPr>
              <w:jc w:val="left"/>
              <w:rPr>
                <w:sz w:val="17"/>
                <w:szCs w:val="17"/>
              </w:rPr>
            </w:pPr>
            <w:hyperlink r:id="rId25" w:history="1">
              <w:r w:rsidR="00991238" w:rsidRPr="00166D67">
                <w:rPr>
                  <w:rStyle w:val="Hyperlink"/>
                  <w:sz w:val="17"/>
                  <w:szCs w:val="17"/>
                </w:rPr>
                <w:t>Governor's Blog: COVID-19: The Irish Economy in a Global Context</w:t>
              </w:r>
            </w:hyperlink>
            <w:r w:rsidR="00991238" w:rsidRPr="00166D67">
              <w:rPr>
                <w:sz w:val="17"/>
                <w:szCs w:val="17"/>
              </w:rPr>
              <w:t xml:space="preserve"> </w:t>
            </w:r>
          </w:p>
        </w:tc>
        <w:tc>
          <w:tcPr>
            <w:tcW w:w="1819" w:type="dxa"/>
            <w:shd w:val="clear" w:color="auto" w:fill="auto"/>
          </w:tcPr>
          <w:p w14:paraId="56CB1E3F" w14:textId="77777777" w:rsidR="00991238" w:rsidRPr="00166D67" w:rsidRDefault="00991238" w:rsidP="0059185F">
            <w:pPr>
              <w:jc w:val="left"/>
              <w:rPr>
                <w:sz w:val="17"/>
                <w:szCs w:val="17"/>
              </w:rPr>
            </w:pPr>
          </w:p>
        </w:tc>
        <w:tc>
          <w:tcPr>
            <w:tcW w:w="2155" w:type="dxa"/>
            <w:shd w:val="clear" w:color="auto" w:fill="auto"/>
          </w:tcPr>
          <w:p w14:paraId="495428DC" w14:textId="77471F1B" w:rsidR="00991238" w:rsidRPr="00166D67" w:rsidRDefault="00FC1148" w:rsidP="0059185F">
            <w:pPr>
              <w:jc w:val="left"/>
              <w:rPr>
                <w:sz w:val="17"/>
                <w:szCs w:val="17"/>
              </w:rPr>
            </w:pPr>
            <w:r w:rsidRPr="00166D67">
              <w:rPr>
                <w:sz w:val="17"/>
                <w:szCs w:val="17"/>
              </w:rPr>
              <w:t>All Regulated Financial Services Providers</w:t>
            </w:r>
          </w:p>
        </w:tc>
        <w:tc>
          <w:tcPr>
            <w:tcW w:w="5523" w:type="dxa"/>
            <w:shd w:val="clear" w:color="auto" w:fill="auto"/>
          </w:tcPr>
          <w:p w14:paraId="64199FAE" w14:textId="6B737A48" w:rsidR="00991238" w:rsidRPr="00166D67" w:rsidRDefault="00AC7867" w:rsidP="0059185F">
            <w:pPr>
              <w:jc w:val="left"/>
              <w:rPr>
                <w:sz w:val="17"/>
                <w:szCs w:val="17"/>
              </w:rPr>
            </w:pPr>
            <w:r w:rsidRPr="00166D67">
              <w:rPr>
                <w:sz w:val="17"/>
                <w:szCs w:val="17"/>
              </w:rPr>
              <w:t xml:space="preserve">In this blog post, Governor </w:t>
            </w:r>
            <w:proofErr w:type="spellStart"/>
            <w:r w:rsidRPr="00166D67">
              <w:rPr>
                <w:sz w:val="17"/>
                <w:szCs w:val="17"/>
              </w:rPr>
              <w:t>Makhlouf</w:t>
            </w:r>
            <w:proofErr w:type="spellEnd"/>
            <w:r w:rsidRPr="00166D67">
              <w:rPr>
                <w:sz w:val="17"/>
                <w:szCs w:val="17"/>
              </w:rPr>
              <w:t xml:space="preserve"> discussed the impact of COVID-19 on the Irish economy in a global context. He referred to the biannual update for the global outlook published by the IMF noting that it anticipated a recession in 2020. </w:t>
            </w:r>
          </w:p>
          <w:p w14:paraId="4A493C13" w14:textId="77777777" w:rsidR="007F1F46" w:rsidRPr="00166D67" w:rsidRDefault="007F1F46" w:rsidP="0059185F">
            <w:pPr>
              <w:jc w:val="left"/>
              <w:rPr>
                <w:sz w:val="17"/>
                <w:szCs w:val="17"/>
              </w:rPr>
            </w:pPr>
            <w:r w:rsidRPr="00166D67">
              <w:rPr>
                <w:sz w:val="17"/>
                <w:szCs w:val="17"/>
              </w:rPr>
              <w:t>H</w:t>
            </w:r>
            <w:r w:rsidR="00AC7867" w:rsidRPr="00166D67">
              <w:rPr>
                <w:sz w:val="17"/>
                <w:szCs w:val="17"/>
              </w:rPr>
              <w:t>e</w:t>
            </w:r>
            <w:r w:rsidRPr="00166D67">
              <w:rPr>
                <w:sz w:val="17"/>
                <w:szCs w:val="17"/>
              </w:rPr>
              <w:t xml:space="preserve"> discussed</w:t>
            </w:r>
            <w:r w:rsidR="00AC7867" w:rsidRPr="00166D67">
              <w:rPr>
                <w:sz w:val="17"/>
                <w:szCs w:val="17"/>
              </w:rPr>
              <w:t xml:space="preserve"> the sudden drop in activity and employment</w:t>
            </w:r>
            <w:r w:rsidRPr="00166D67">
              <w:rPr>
                <w:sz w:val="17"/>
                <w:szCs w:val="17"/>
              </w:rPr>
              <w:t xml:space="preserve"> in Ireland</w:t>
            </w:r>
            <w:r w:rsidR="00AC7867" w:rsidRPr="00166D67">
              <w:rPr>
                <w:sz w:val="17"/>
                <w:szCs w:val="17"/>
              </w:rPr>
              <w:t xml:space="preserve"> and the various emergency measures put in place to reduce the amount of 'scarring' inflicted on the </w:t>
            </w:r>
            <w:r w:rsidRPr="00166D67">
              <w:rPr>
                <w:sz w:val="17"/>
                <w:szCs w:val="17"/>
              </w:rPr>
              <w:t xml:space="preserve">Irish </w:t>
            </w:r>
            <w:r w:rsidR="00AC7867" w:rsidRPr="00166D67">
              <w:rPr>
                <w:sz w:val="17"/>
                <w:szCs w:val="17"/>
              </w:rPr>
              <w:t xml:space="preserve">economy i.e. the number of jobs lost and firms that go out of business permanently. </w:t>
            </w:r>
          </w:p>
          <w:p w14:paraId="3CB04ED2" w14:textId="78DD7B54" w:rsidR="00AC7867" w:rsidRPr="00166D67" w:rsidRDefault="007F1F46" w:rsidP="0059185F">
            <w:pPr>
              <w:jc w:val="left"/>
              <w:rPr>
                <w:sz w:val="17"/>
                <w:szCs w:val="17"/>
              </w:rPr>
            </w:pPr>
            <w:r w:rsidRPr="00166D67">
              <w:rPr>
                <w:sz w:val="17"/>
                <w:szCs w:val="17"/>
              </w:rPr>
              <w:t xml:space="preserve">Governor </w:t>
            </w:r>
            <w:proofErr w:type="spellStart"/>
            <w:r w:rsidRPr="00166D67">
              <w:rPr>
                <w:sz w:val="17"/>
                <w:szCs w:val="17"/>
              </w:rPr>
              <w:t>Makhlouf</w:t>
            </w:r>
            <w:proofErr w:type="spellEnd"/>
            <w:r w:rsidRPr="00166D67">
              <w:rPr>
                <w:sz w:val="17"/>
                <w:szCs w:val="17"/>
              </w:rPr>
              <w:t xml:space="preserve"> concluded by noting that it will be difficult to assess how severe the final impact will be on the Irish economy but that the Central Bank, along with its European partners, will do everything they can to contain the economic effects and protect consumers, households and businesses. </w:t>
            </w:r>
          </w:p>
        </w:tc>
      </w:tr>
      <w:tr w:rsidR="00C4401F" w:rsidRPr="00166D67" w14:paraId="7E74A577" w14:textId="77777777" w:rsidTr="001701F9">
        <w:trPr>
          <w:cantSplit/>
        </w:trPr>
        <w:tc>
          <w:tcPr>
            <w:tcW w:w="1097" w:type="dxa"/>
            <w:shd w:val="clear" w:color="auto" w:fill="auto"/>
          </w:tcPr>
          <w:p w14:paraId="1F9BA225" w14:textId="20E68D1C" w:rsidR="00E1621A" w:rsidRPr="007F1827" w:rsidRDefault="00E1621A" w:rsidP="0059185F">
            <w:pPr>
              <w:jc w:val="left"/>
              <w:rPr>
                <w:b/>
                <w:sz w:val="17"/>
                <w:szCs w:val="17"/>
              </w:rPr>
            </w:pPr>
            <w:r w:rsidRPr="007F1827">
              <w:rPr>
                <w:b/>
                <w:sz w:val="17"/>
                <w:szCs w:val="17"/>
              </w:rPr>
              <w:t>17 April 2020</w:t>
            </w:r>
          </w:p>
        </w:tc>
        <w:tc>
          <w:tcPr>
            <w:tcW w:w="1880" w:type="dxa"/>
            <w:shd w:val="clear" w:color="auto" w:fill="auto"/>
          </w:tcPr>
          <w:p w14:paraId="30A81B8A" w14:textId="208740BD" w:rsidR="00E1621A" w:rsidRPr="00166D67" w:rsidRDefault="00A324C3" w:rsidP="0059185F">
            <w:pPr>
              <w:jc w:val="left"/>
              <w:rPr>
                <w:sz w:val="17"/>
                <w:szCs w:val="17"/>
              </w:rPr>
            </w:pPr>
            <w:hyperlink r:id="rId26" w:history="1">
              <w:r w:rsidR="00E1621A" w:rsidRPr="00166D67">
                <w:rPr>
                  <w:rStyle w:val="Hyperlink"/>
                  <w:sz w:val="17"/>
                  <w:szCs w:val="17"/>
                </w:rPr>
                <w:t xml:space="preserve">The macroeconomic effects of Covid-19 in Ireland - Deputy Governor Sharon </w:t>
              </w:r>
              <w:proofErr w:type="spellStart"/>
              <w:r w:rsidR="00E1621A" w:rsidRPr="00166D67">
                <w:rPr>
                  <w:rStyle w:val="Hyperlink"/>
                  <w:sz w:val="17"/>
                  <w:szCs w:val="17"/>
                </w:rPr>
                <w:t>Donnery</w:t>
              </w:r>
              <w:proofErr w:type="spellEnd"/>
            </w:hyperlink>
          </w:p>
        </w:tc>
        <w:tc>
          <w:tcPr>
            <w:tcW w:w="1819" w:type="dxa"/>
            <w:shd w:val="clear" w:color="auto" w:fill="auto"/>
          </w:tcPr>
          <w:p w14:paraId="3C355C84" w14:textId="77777777" w:rsidR="00E1621A" w:rsidRPr="00166D67" w:rsidRDefault="00E1621A" w:rsidP="0059185F">
            <w:pPr>
              <w:jc w:val="left"/>
              <w:rPr>
                <w:sz w:val="17"/>
                <w:szCs w:val="17"/>
              </w:rPr>
            </w:pPr>
          </w:p>
        </w:tc>
        <w:tc>
          <w:tcPr>
            <w:tcW w:w="2155" w:type="dxa"/>
            <w:shd w:val="clear" w:color="auto" w:fill="auto"/>
          </w:tcPr>
          <w:p w14:paraId="662B168F" w14:textId="04B41C8E" w:rsidR="00E1621A" w:rsidRPr="00166D67" w:rsidRDefault="00E1621A" w:rsidP="0059185F">
            <w:pPr>
              <w:jc w:val="left"/>
              <w:rPr>
                <w:sz w:val="17"/>
                <w:szCs w:val="17"/>
              </w:rPr>
            </w:pPr>
          </w:p>
        </w:tc>
        <w:tc>
          <w:tcPr>
            <w:tcW w:w="5523" w:type="dxa"/>
            <w:shd w:val="clear" w:color="auto" w:fill="auto"/>
          </w:tcPr>
          <w:p w14:paraId="037FE0CA" w14:textId="2951EFBF" w:rsidR="00E1621A" w:rsidRPr="00166D67" w:rsidRDefault="001D26BB" w:rsidP="0059185F">
            <w:pPr>
              <w:jc w:val="left"/>
              <w:rPr>
                <w:sz w:val="17"/>
                <w:szCs w:val="17"/>
              </w:rPr>
            </w:pPr>
            <w:r w:rsidRPr="00166D67">
              <w:rPr>
                <w:sz w:val="17"/>
                <w:szCs w:val="17"/>
              </w:rPr>
              <w:t xml:space="preserve">CBI Deputy Governor Sharon </w:t>
            </w:r>
            <w:proofErr w:type="spellStart"/>
            <w:r w:rsidRPr="00166D67">
              <w:rPr>
                <w:sz w:val="17"/>
                <w:szCs w:val="17"/>
              </w:rPr>
              <w:t>Donnery</w:t>
            </w:r>
            <w:proofErr w:type="spellEnd"/>
            <w:r w:rsidRPr="00166D67">
              <w:rPr>
                <w:sz w:val="17"/>
                <w:szCs w:val="17"/>
              </w:rPr>
              <w:t xml:space="preserve"> delivered a speech via </w:t>
            </w:r>
            <w:proofErr w:type="spellStart"/>
            <w:r w:rsidRPr="00166D67">
              <w:rPr>
                <w:sz w:val="17"/>
                <w:szCs w:val="17"/>
              </w:rPr>
              <w:t>videolink</w:t>
            </w:r>
            <w:proofErr w:type="spellEnd"/>
            <w:r w:rsidRPr="00166D67">
              <w:rPr>
                <w:sz w:val="17"/>
                <w:szCs w:val="17"/>
              </w:rPr>
              <w:t xml:space="preserve"> at </w:t>
            </w:r>
            <w:r w:rsidR="00B137E6" w:rsidRPr="00166D67">
              <w:rPr>
                <w:sz w:val="17"/>
                <w:szCs w:val="17"/>
              </w:rPr>
              <w:t>a</w:t>
            </w:r>
            <w:r w:rsidRPr="00166D67">
              <w:rPr>
                <w:sz w:val="17"/>
                <w:szCs w:val="17"/>
              </w:rPr>
              <w:t xml:space="preserve"> conference</w:t>
            </w:r>
            <w:r w:rsidR="00B137E6" w:rsidRPr="00166D67">
              <w:rPr>
                <w:sz w:val="17"/>
                <w:szCs w:val="17"/>
              </w:rPr>
              <w:t xml:space="preserve"> entitled</w:t>
            </w:r>
            <w:r w:rsidRPr="00166D67">
              <w:rPr>
                <w:sz w:val="17"/>
                <w:szCs w:val="17"/>
              </w:rPr>
              <w:t xml:space="preserve"> 'Ireland’s COVID19 Crisis Response: Perspectives from Social Science Conference, 17 April 2020'.</w:t>
            </w:r>
          </w:p>
          <w:p w14:paraId="1E0D474A" w14:textId="10CBB071" w:rsidR="001D26BB" w:rsidRPr="00166D67" w:rsidRDefault="001D26BB" w:rsidP="0059185F">
            <w:pPr>
              <w:jc w:val="left"/>
              <w:rPr>
                <w:sz w:val="17"/>
                <w:szCs w:val="17"/>
              </w:rPr>
            </w:pPr>
            <w:r w:rsidRPr="00166D67">
              <w:rPr>
                <w:sz w:val="17"/>
                <w:szCs w:val="17"/>
              </w:rPr>
              <w:t xml:space="preserve">Deputy Governor </w:t>
            </w:r>
            <w:proofErr w:type="spellStart"/>
            <w:r w:rsidRPr="00166D67">
              <w:rPr>
                <w:sz w:val="17"/>
                <w:szCs w:val="17"/>
              </w:rPr>
              <w:t>Donnery</w:t>
            </w:r>
            <w:proofErr w:type="spellEnd"/>
            <w:r w:rsidRPr="00166D67">
              <w:rPr>
                <w:sz w:val="17"/>
                <w:szCs w:val="17"/>
              </w:rPr>
              <w:t xml:space="preserve"> covered the economic effects of the COVID-19 pandemic, the CBI's response and the path towards economic recovery. She also explained how the CBI has carried out its mandate over the last decade through employment of macroeconomic measures. </w:t>
            </w:r>
          </w:p>
        </w:tc>
      </w:tr>
      <w:tr w:rsidR="00C4401F" w:rsidRPr="00166D67" w14:paraId="73A00846" w14:textId="77777777" w:rsidTr="001701F9">
        <w:trPr>
          <w:cantSplit/>
        </w:trPr>
        <w:tc>
          <w:tcPr>
            <w:tcW w:w="1097" w:type="dxa"/>
            <w:shd w:val="clear" w:color="auto" w:fill="auto"/>
          </w:tcPr>
          <w:p w14:paraId="424E39B5" w14:textId="3533E811" w:rsidR="001D26BB" w:rsidRPr="007F1827" w:rsidRDefault="001D26BB" w:rsidP="0059185F">
            <w:pPr>
              <w:jc w:val="left"/>
              <w:rPr>
                <w:b/>
                <w:sz w:val="17"/>
                <w:szCs w:val="17"/>
              </w:rPr>
            </w:pPr>
            <w:r w:rsidRPr="007F1827">
              <w:rPr>
                <w:b/>
                <w:sz w:val="17"/>
                <w:szCs w:val="17"/>
              </w:rPr>
              <w:t>17 April 2020</w:t>
            </w:r>
          </w:p>
        </w:tc>
        <w:tc>
          <w:tcPr>
            <w:tcW w:w="1880" w:type="dxa"/>
            <w:shd w:val="clear" w:color="auto" w:fill="auto"/>
          </w:tcPr>
          <w:p w14:paraId="4E08A24E" w14:textId="2CC35C06" w:rsidR="001D26BB" w:rsidRPr="00166D67" w:rsidRDefault="00A324C3" w:rsidP="0059185F">
            <w:pPr>
              <w:jc w:val="left"/>
              <w:rPr>
                <w:sz w:val="17"/>
                <w:szCs w:val="17"/>
              </w:rPr>
            </w:pPr>
            <w:hyperlink r:id="rId27" w:anchor="_ftn1" w:history="1">
              <w:r w:rsidR="001D26BB" w:rsidRPr="00166D67">
                <w:rPr>
                  <w:rStyle w:val="Hyperlink"/>
                  <w:sz w:val="17"/>
                  <w:szCs w:val="17"/>
                </w:rPr>
                <w:t>COVID-19: Flexibility in Regulatory Requirements for Securities Markets, Investment Management, Investment Firms and Fund Service Providers</w:t>
              </w:r>
            </w:hyperlink>
            <w:r w:rsidR="001D26BB" w:rsidRPr="00166D67">
              <w:rPr>
                <w:sz w:val="17"/>
                <w:szCs w:val="17"/>
              </w:rPr>
              <w:t xml:space="preserve"> </w:t>
            </w:r>
          </w:p>
        </w:tc>
        <w:tc>
          <w:tcPr>
            <w:tcW w:w="1819" w:type="dxa"/>
            <w:shd w:val="clear" w:color="auto" w:fill="auto"/>
          </w:tcPr>
          <w:p w14:paraId="3C47641A" w14:textId="6CF66E2B" w:rsidR="001D26BB" w:rsidRPr="00166D67" w:rsidRDefault="00A324C3" w:rsidP="0059185F">
            <w:pPr>
              <w:jc w:val="left"/>
              <w:rPr>
                <w:sz w:val="17"/>
                <w:szCs w:val="17"/>
              </w:rPr>
            </w:pPr>
            <w:hyperlink r:id="rId28" w:history="1">
              <w:r w:rsidR="001D26BB" w:rsidRPr="00166D67">
                <w:rPr>
                  <w:rStyle w:val="Hyperlink"/>
                  <w:sz w:val="17"/>
                  <w:szCs w:val="17"/>
                </w:rPr>
                <w:t>COVID-19: CBI announces more flexibility measures in response to the pandemic</w:t>
              </w:r>
            </w:hyperlink>
          </w:p>
        </w:tc>
        <w:tc>
          <w:tcPr>
            <w:tcW w:w="2155" w:type="dxa"/>
            <w:shd w:val="clear" w:color="auto" w:fill="auto"/>
          </w:tcPr>
          <w:p w14:paraId="19D80427" w14:textId="4E5DCD6A" w:rsidR="001D26BB" w:rsidRPr="00166D67" w:rsidRDefault="001D26BB" w:rsidP="0059185F">
            <w:pPr>
              <w:jc w:val="left"/>
              <w:rPr>
                <w:sz w:val="17"/>
                <w:szCs w:val="17"/>
              </w:rPr>
            </w:pPr>
            <w:r w:rsidRPr="00166D67">
              <w:rPr>
                <w:sz w:val="17"/>
                <w:szCs w:val="17"/>
              </w:rPr>
              <w:t>UCITS, AIFs, Fund Service Providers, Investment Managers and Investment Firms</w:t>
            </w:r>
          </w:p>
        </w:tc>
        <w:tc>
          <w:tcPr>
            <w:tcW w:w="5523" w:type="dxa"/>
            <w:shd w:val="clear" w:color="auto" w:fill="auto"/>
          </w:tcPr>
          <w:p w14:paraId="7A949866" w14:textId="40274AFC" w:rsidR="001D26BB" w:rsidRPr="00166D67" w:rsidRDefault="00BB55CD" w:rsidP="0059185F">
            <w:pPr>
              <w:jc w:val="left"/>
              <w:rPr>
                <w:sz w:val="17"/>
                <w:szCs w:val="17"/>
              </w:rPr>
            </w:pPr>
            <w:r w:rsidRPr="00166D67">
              <w:rPr>
                <w:sz w:val="17"/>
                <w:szCs w:val="17"/>
              </w:rPr>
              <w:t xml:space="preserve">The CBI, recognising the ongoing challenges faced by firms and financial market participants, </w:t>
            </w:r>
            <w:r w:rsidR="00B137E6" w:rsidRPr="00166D67">
              <w:rPr>
                <w:sz w:val="17"/>
                <w:szCs w:val="17"/>
              </w:rPr>
              <w:t>announced</w:t>
            </w:r>
            <w:r w:rsidRPr="00166D67">
              <w:rPr>
                <w:sz w:val="17"/>
                <w:szCs w:val="17"/>
              </w:rPr>
              <w:t xml:space="preserve"> a range of measures </w:t>
            </w:r>
            <w:r w:rsidR="00B137E6" w:rsidRPr="00166D67">
              <w:rPr>
                <w:sz w:val="17"/>
                <w:szCs w:val="17"/>
              </w:rPr>
              <w:t xml:space="preserve">introducing </w:t>
            </w:r>
            <w:r w:rsidRPr="00166D67">
              <w:rPr>
                <w:sz w:val="17"/>
                <w:szCs w:val="17"/>
              </w:rPr>
              <w:t>a more flexible approach to regulatory requirements for UCITS, AIFs, Fund Service Providers, Investment Managers and Investment Firms.</w:t>
            </w:r>
          </w:p>
          <w:p w14:paraId="1AA91914" w14:textId="5B758DDA" w:rsidR="00BB55CD" w:rsidRPr="00166D67" w:rsidRDefault="00BB55CD" w:rsidP="0059185F">
            <w:pPr>
              <w:jc w:val="left"/>
              <w:rPr>
                <w:sz w:val="17"/>
                <w:szCs w:val="17"/>
              </w:rPr>
            </w:pPr>
            <w:r w:rsidRPr="00166D67">
              <w:rPr>
                <w:sz w:val="17"/>
                <w:szCs w:val="17"/>
              </w:rPr>
              <w:t>The CBI has postponed the deadlines for filing a number of regulatory returns and other information. In most cases, the CBI has asked that it, along with investors and any other usual supervisors, be notified of anticipated delays and provided with the estimated date</w:t>
            </w:r>
            <w:r w:rsidR="00B137E6" w:rsidRPr="00166D67">
              <w:rPr>
                <w:sz w:val="17"/>
                <w:szCs w:val="17"/>
              </w:rPr>
              <w:t xml:space="preserve"> for delivery of the relevant filings</w:t>
            </w:r>
            <w:r w:rsidRPr="00166D67">
              <w:rPr>
                <w:sz w:val="17"/>
                <w:szCs w:val="17"/>
              </w:rPr>
              <w:t xml:space="preserve"> as soon as possible.</w:t>
            </w:r>
          </w:p>
          <w:p w14:paraId="0F240352" w14:textId="7F0E28F0" w:rsidR="00BB55CD" w:rsidRPr="00166D67" w:rsidRDefault="00BB55CD" w:rsidP="0059185F">
            <w:pPr>
              <w:jc w:val="left"/>
              <w:rPr>
                <w:sz w:val="17"/>
                <w:szCs w:val="17"/>
              </w:rPr>
            </w:pPr>
            <w:r w:rsidRPr="00166D67">
              <w:rPr>
                <w:sz w:val="17"/>
                <w:szCs w:val="17"/>
              </w:rPr>
              <w:t xml:space="preserve">The CBI has also announced that it will </w:t>
            </w:r>
            <w:r w:rsidR="00B27A3C" w:rsidRPr="00166D67">
              <w:rPr>
                <w:sz w:val="17"/>
                <w:szCs w:val="17"/>
              </w:rPr>
              <w:t>adhere to</w:t>
            </w:r>
            <w:r w:rsidRPr="00166D67">
              <w:rPr>
                <w:sz w:val="17"/>
                <w:szCs w:val="17"/>
              </w:rPr>
              <w:t xml:space="preserve"> a number of statements by ESMA asking NCAs not to prioritise supervisory actions against firms and financial market participants experiencing or likely to experience difficulties in complying with certain</w:t>
            </w:r>
            <w:r w:rsidR="00B27A3C" w:rsidRPr="00166D67">
              <w:rPr>
                <w:sz w:val="17"/>
                <w:szCs w:val="17"/>
              </w:rPr>
              <w:t xml:space="preserve"> </w:t>
            </w:r>
            <w:r w:rsidRPr="00166D67">
              <w:rPr>
                <w:sz w:val="17"/>
                <w:szCs w:val="17"/>
              </w:rPr>
              <w:t>regulatory obligations due to the COVID-19 pandemic.</w:t>
            </w:r>
          </w:p>
        </w:tc>
      </w:tr>
      <w:tr w:rsidR="00C4401F" w:rsidRPr="00166D67" w14:paraId="107A8000" w14:textId="77777777" w:rsidTr="001701F9">
        <w:trPr>
          <w:cantSplit/>
        </w:trPr>
        <w:tc>
          <w:tcPr>
            <w:tcW w:w="1097" w:type="dxa"/>
            <w:shd w:val="clear" w:color="auto" w:fill="auto"/>
          </w:tcPr>
          <w:p w14:paraId="6F1CDABF" w14:textId="6A4B3534" w:rsidR="00676E28" w:rsidRPr="007F1827" w:rsidRDefault="00676E28" w:rsidP="0059185F">
            <w:pPr>
              <w:jc w:val="left"/>
              <w:rPr>
                <w:b/>
                <w:sz w:val="17"/>
                <w:szCs w:val="17"/>
              </w:rPr>
            </w:pPr>
            <w:r w:rsidRPr="007F1827">
              <w:rPr>
                <w:b/>
                <w:sz w:val="17"/>
                <w:szCs w:val="17"/>
              </w:rPr>
              <w:t>17 April 2020</w:t>
            </w:r>
          </w:p>
        </w:tc>
        <w:tc>
          <w:tcPr>
            <w:tcW w:w="1880" w:type="dxa"/>
            <w:shd w:val="clear" w:color="auto" w:fill="auto"/>
          </w:tcPr>
          <w:p w14:paraId="4100CB72" w14:textId="13912EEB" w:rsidR="00676E28" w:rsidRPr="00166D67" w:rsidRDefault="00676E28" w:rsidP="0059185F">
            <w:pPr>
              <w:jc w:val="left"/>
              <w:rPr>
                <w:sz w:val="17"/>
                <w:szCs w:val="17"/>
              </w:rPr>
            </w:pPr>
            <w:r w:rsidRPr="00166D67">
              <w:rPr>
                <w:sz w:val="17"/>
                <w:szCs w:val="17"/>
              </w:rPr>
              <w:t xml:space="preserve">CBI </w:t>
            </w:r>
            <w:r w:rsidR="009F4EBC" w:rsidRPr="00166D67">
              <w:rPr>
                <w:sz w:val="17"/>
                <w:szCs w:val="17"/>
              </w:rPr>
              <w:t>issues letters to</w:t>
            </w:r>
            <w:r w:rsidR="006E23BB" w:rsidRPr="00166D67">
              <w:rPr>
                <w:sz w:val="17"/>
                <w:szCs w:val="17"/>
              </w:rPr>
              <w:t xml:space="preserve"> </w:t>
            </w:r>
            <w:hyperlink r:id="rId29" w:history="1">
              <w:r w:rsidRPr="00166D67">
                <w:rPr>
                  <w:rStyle w:val="Hyperlink"/>
                  <w:sz w:val="17"/>
                  <w:szCs w:val="17"/>
                </w:rPr>
                <w:t>Credit Unions</w:t>
              </w:r>
            </w:hyperlink>
            <w:r w:rsidRPr="00166D67">
              <w:rPr>
                <w:sz w:val="17"/>
                <w:szCs w:val="17"/>
              </w:rPr>
              <w:t xml:space="preserve">, </w:t>
            </w:r>
            <w:hyperlink r:id="rId30" w:history="1">
              <w:r w:rsidRPr="00166D67">
                <w:rPr>
                  <w:rStyle w:val="Hyperlink"/>
                  <w:sz w:val="17"/>
                  <w:szCs w:val="17"/>
                </w:rPr>
                <w:t>Insurers and Reinsurers</w:t>
              </w:r>
            </w:hyperlink>
            <w:r w:rsidRPr="00166D67">
              <w:rPr>
                <w:sz w:val="17"/>
                <w:szCs w:val="17"/>
              </w:rPr>
              <w:t xml:space="preserve"> and </w:t>
            </w:r>
            <w:hyperlink r:id="rId31" w:history="1">
              <w:r w:rsidRPr="00166D67">
                <w:rPr>
                  <w:rStyle w:val="Hyperlink"/>
                  <w:sz w:val="17"/>
                  <w:szCs w:val="17"/>
                </w:rPr>
                <w:t>SPRVs</w:t>
              </w:r>
            </w:hyperlink>
            <w:r w:rsidRPr="00166D67">
              <w:rPr>
                <w:sz w:val="17"/>
                <w:szCs w:val="17"/>
              </w:rPr>
              <w:t xml:space="preserve"> </w:t>
            </w:r>
            <w:r w:rsidR="00561E2F" w:rsidRPr="00166D67">
              <w:rPr>
                <w:sz w:val="17"/>
                <w:szCs w:val="17"/>
              </w:rPr>
              <w:t xml:space="preserve">on supervisory flexibility </w:t>
            </w:r>
          </w:p>
        </w:tc>
        <w:tc>
          <w:tcPr>
            <w:tcW w:w="1819" w:type="dxa"/>
            <w:shd w:val="clear" w:color="auto" w:fill="auto"/>
          </w:tcPr>
          <w:p w14:paraId="5689AA35" w14:textId="77777777" w:rsidR="00676E28" w:rsidRPr="00166D67" w:rsidRDefault="00676E28" w:rsidP="0059185F">
            <w:pPr>
              <w:jc w:val="left"/>
              <w:rPr>
                <w:sz w:val="17"/>
                <w:szCs w:val="17"/>
              </w:rPr>
            </w:pPr>
          </w:p>
        </w:tc>
        <w:tc>
          <w:tcPr>
            <w:tcW w:w="2155" w:type="dxa"/>
            <w:shd w:val="clear" w:color="auto" w:fill="auto"/>
          </w:tcPr>
          <w:p w14:paraId="52C156FD" w14:textId="77777777" w:rsidR="00561E2F" w:rsidRPr="00166D67" w:rsidRDefault="00561E2F" w:rsidP="0059185F">
            <w:pPr>
              <w:jc w:val="left"/>
              <w:rPr>
                <w:sz w:val="17"/>
                <w:szCs w:val="17"/>
              </w:rPr>
            </w:pPr>
            <w:r w:rsidRPr="00166D67">
              <w:rPr>
                <w:sz w:val="17"/>
                <w:szCs w:val="17"/>
              </w:rPr>
              <w:t>Credit Unions</w:t>
            </w:r>
          </w:p>
          <w:p w14:paraId="68101AD0" w14:textId="77777777" w:rsidR="00561E2F" w:rsidRPr="00166D67" w:rsidRDefault="00561E2F" w:rsidP="0059185F">
            <w:pPr>
              <w:jc w:val="left"/>
              <w:rPr>
                <w:sz w:val="17"/>
                <w:szCs w:val="17"/>
              </w:rPr>
            </w:pPr>
          </w:p>
          <w:p w14:paraId="32DE69BF" w14:textId="77777777" w:rsidR="00561E2F" w:rsidRPr="00166D67" w:rsidRDefault="00561E2F" w:rsidP="0059185F">
            <w:pPr>
              <w:jc w:val="left"/>
              <w:rPr>
                <w:sz w:val="17"/>
                <w:szCs w:val="17"/>
              </w:rPr>
            </w:pPr>
            <w:r w:rsidRPr="00166D67">
              <w:rPr>
                <w:sz w:val="17"/>
                <w:szCs w:val="17"/>
              </w:rPr>
              <w:t xml:space="preserve">Insurers and Reinsurers </w:t>
            </w:r>
          </w:p>
          <w:p w14:paraId="18CF7073" w14:textId="77777777" w:rsidR="00561E2F" w:rsidRPr="00166D67" w:rsidRDefault="00561E2F" w:rsidP="0059185F">
            <w:pPr>
              <w:jc w:val="left"/>
              <w:rPr>
                <w:sz w:val="17"/>
                <w:szCs w:val="17"/>
              </w:rPr>
            </w:pPr>
          </w:p>
          <w:p w14:paraId="7A538C44" w14:textId="0808809F" w:rsidR="00676E28" w:rsidRPr="00166D67" w:rsidRDefault="00561E2F" w:rsidP="0059185F">
            <w:pPr>
              <w:jc w:val="left"/>
              <w:rPr>
                <w:sz w:val="17"/>
                <w:szCs w:val="17"/>
              </w:rPr>
            </w:pPr>
            <w:r w:rsidRPr="00166D67">
              <w:rPr>
                <w:sz w:val="17"/>
                <w:szCs w:val="17"/>
              </w:rPr>
              <w:t xml:space="preserve">Special Purpose Reinsurance Vehicles </w:t>
            </w:r>
            <w:r w:rsidR="002D5DED" w:rsidRPr="00166D67">
              <w:rPr>
                <w:sz w:val="17"/>
                <w:szCs w:val="17"/>
              </w:rPr>
              <w:t xml:space="preserve"> </w:t>
            </w:r>
          </w:p>
        </w:tc>
        <w:tc>
          <w:tcPr>
            <w:tcW w:w="5523" w:type="dxa"/>
            <w:shd w:val="clear" w:color="auto" w:fill="auto"/>
          </w:tcPr>
          <w:p w14:paraId="6321EE61" w14:textId="5468768E" w:rsidR="00676E28" w:rsidRPr="00166D67" w:rsidRDefault="00676E28" w:rsidP="0059185F">
            <w:pPr>
              <w:jc w:val="left"/>
              <w:rPr>
                <w:sz w:val="17"/>
                <w:szCs w:val="17"/>
              </w:rPr>
            </w:pPr>
            <w:r w:rsidRPr="00166D67">
              <w:rPr>
                <w:sz w:val="17"/>
                <w:szCs w:val="17"/>
              </w:rPr>
              <w:t>The CBI has</w:t>
            </w:r>
            <w:r w:rsidR="006E23BB" w:rsidRPr="00166D67">
              <w:rPr>
                <w:sz w:val="17"/>
                <w:szCs w:val="17"/>
              </w:rPr>
              <w:t xml:space="preserve"> also</w:t>
            </w:r>
            <w:r w:rsidRPr="00166D67">
              <w:rPr>
                <w:sz w:val="17"/>
                <w:szCs w:val="17"/>
              </w:rPr>
              <w:t xml:space="preserve"> published letters written to </w:t>
            </w:r>
            <w:r w:rsidR="00C14737" w:rsidRPr="00166D67">
              <w:rPr>
                <w:sz w:val="17"/>
                <w:szCs w:val="17"/>
              </w:rPr>
              <w:t>credit u</w:t>
            </w:r>
            <w:r w:rsidRPr="00166D67">
              <w:rPr>
                <w:sz w:val="17"/>
                <w:szCs w:val="17"/>
              </w:rPr>
              <w:t>nion Cha</w:t>
            </w:r>
            <w:r w:rsidR="00C14737" w:rsidRPr="00166D67">
              <w:rPr>
                <w:sz w:val="17"/>
                <w:szCs w:val="17"/>
              </w:rPr>
              <w:t>irs and Compliance Officers of insurers, r</w:t>
            </w:r>
            <w:r w:rsidRPr="00166D67">
              <w:rPr>
                <w:sz w:val="17"/>
                <w:szCs w:val="17"/>
              </w:rPr>
              <w:t>einsurers and Special Purpose Reinsurance Vehicles (</w:t>
            </w:r>
            <w:r w:rsidRPr="00166D67">
              <w:rPr>
                <w:b/>
                <w:sz w:val="17"/>
                <w:szCs w:val="17"/>
              </w:rPr>
              <w:t>SPRV</w:t>
            </w:r>
            <w:r w:rsidRPr="00166D67">
              <w:rPr>
                <w:sz w:val="17"/>
                <w:szCs w:val="17"/>
              </w:rPr>
              <w:t xml:space="preserve">s) </w:t>
            </w:r>
            <w:r w:rsidR="003E7D8F" w:rsidRPr="00166D67">
              <w:rPr>
                <w:sz w:val="17"/>
                <w:szCs w:val="17"/>
              </w:rPr>
              <w:t xml:space="preserve">announcing certain measures of supervisory flexibility. </w:t>
            </w:r>
          </w:p>
          <w:p w14:paraId="0AE2DA41" w14:textId="77777777" w:rsidR="003E7D8F" w:rsidRPr="00166D67" w:rsidRDefault="003E7D8F" w:rsidP="0059185F">
            <w:pPr>
              <w:jc w:val="left"/>
              <w:rPr>
                <w:sz w:val="17"/>
                <w:szCs w:val="17"/>
              </w:rPr>
            </w:pPr>
            <w:r w:rsidRPr="00166D67">
              <w:rPr>
                <w:sz w:val="17"/>
                <w:szCs w:val="17"/>
              </w:rPr>
              <w:t>These measures include postponement of deadlines to submit annual reports for insurers, reinsurers and SPRVs, along with a postponement of deadlines for quarterly prudential reports and public disclosures of information for insurers and reinsurers.</w:t>
            </w:r>
          </w:p>
          <w:p w14:paraId="723904CF" w14:textId="64BC3C37" w:rsidR="003E7D8F" w:rsidRPr="00166D67" w:rsidRDefault="003E7D8F" w:rsidP="0059185F">
            <w:pPr>
              <w:jc w:val="left"/>
              <w:rPr>
                <w:sz w:val="17"/>
                <w:szCs w:val="17"/>
              </w:rPr>
            </w:pPr>
            <w:r w:rsidRPr="00166D67">
              <w:rPr>
                <w:sz w:val="17"/>
                <w:szCs w:val="17"/>
              </w:rPr>
              <w:t>Credit Unions have been granted extensions of the deadlines for subm</w:t>
            </w:r>
            <w:r w:rsidR="00C14737" w:rsidRPr="00166D67">
              <w:rPr>
                <w:sz w:val="17"/>
                <w:szCs w:val="17"/>
              </w:rPr>
              <w:t>itt</w:t>
            </w:r>
            <w:r w:rsidRPr="00166D67">
              <w:rPr>
                <w:sz w:val="17"/>
                <w:szCs w:val="17"/>
              </w:rPr>
              <w:t>ing regulatory returns and operational risk and security assessment reports. In addition, the CBI w</w:t>
            </w:r>
            <w:r w:rsidR="00C306B4" w:rsidRPr="00166D67">
              <w:rPr>
                <w:sz w:val="17"/>
                <w:szCs w:val="17"/>
              </w:rPr>
              <w:t xml:space="preserve">ill consider </w:t>
            </w:r>
            <w:r w:rsidR="00C14737" w:rsidRPr="00166D67">
              <w:rPr>
                <w:sz w:val="17"/>
                <w:szCs w:val="17"/>
              </w:rPr>
              <w:t>extensions to specific Risk Mitigation Programme implementation dates, though credit unions able to meet existing Risk Mitigation Programme implementation dates are encouraged to do so.</w:t>
            </w:r>
          </w:p>
        </w:tc>
      </w:tr>
      <w:tr w:rsidR="00AE0E00" w:rsidRPr="00166D67" w14:paraId="7B957A3C" w14:textId="77777777" w:rsidTr="001701F9">
        <w:trPr>
          <w:cantSplit/>
        </w:trPr>
        <w:tc>
          <w:tcPr>
            <w:tcW w:w="1097" w:type="dxa"/>
            <w:shd w:val="clear" w:color="auto" w:fill="FFFFFF" w:themeFill="background1"/>
          </w:tcPr>
          <w:p w14:paraId="377AA8FE" w14:textId="01483616" w:rsidR="006E23BB" w:rsidRPr="007F1827" w:rsidRDefault="006E23BB" w:rsidP="0059185F">
            <w:pPr>
              <w:jc w:val="left"/>
              <w:rPr>
                <w:b/>
                <w:sz w:val="17"/>
                <w:szCs w:val="17"/>
              </w:rPr>
            </w:pPr>
            <w:r w:rsidRPr="007F1827">
              <w:rPr>
                <w:b/>
                <w:sz w:val="17"/>
                <w:szCs w:val="17"/>
              </w:rPr>
              <w:t>20 April 2020</w:t>
            </w:r>
          </w:p>
        </w:tc>
        <w:tc>
          <w:tcPr>
            <w:tcW w:w="1880" w:type="dxa"/>
            <w:shd w:val="clear" w:color="auto" w:fill="FFFFFF" w:themeFill="background1"/>
          </w:tcPr>
          <w:p w14:paraId="77B1F675" w14:textId="0B5EEE19" w:rsidR="006E23BB" w:rsidRPr="00166D67" w:rsidRDefault="00A324C3" w:rsidP="0059185F">
            <w:pPr>
              <w:jc w:val="left"/>
              <w:rPr>
                <w:sz w:val="17"/>
                <w:szCs w:val="17"/>
              </w:rPr>
            </w:pPr>
            <w:hyperlink r:id="rId32" w:history="1">
              <w:r w:rsidR="006E23BB" w:rsidRPr="00166D67">
                <w:rPr>
                  <w:rStyle w:val="Hyperlink"/>
                  <w:sz w:val="17"/>
                  <w:szCs w:val="17"/>
                </w:rPr>
                <w:t>COVID-19 - Prudential Regulatory Flexibility Measures – Credit Institutions</w:t>
              </w:r>
            </w:hyperlink>
            <w:r w:rsidR="006E23BB" w:rsidRPr="00166D67">
              <w:rPr>
                <w:sz w:val="17"/>
                <w:szCs w:val="17"/>
              </w:rPr>
              <w:t xml:space="preserve"> </w:t>
            </w:r>
          </w:p>
        </w:tc>
        <w:tc>
          <w:tcPr>
            <w:tcW w:w="1819" w:type="dxa"/>
            <w:shd w:val="clear" w:color="auto" w:fill="FFFFFF" w:themeFill="background1"/>
          </w:tcPr>
          <w:p w14:paraId="0148CCB6" w14:textId="77777777" w:rsidR="006E23BB" w:rsidRPr="00166D67" w:rsidRDefault="006E23BB" w:rsidP="0059185F">
            <w:pPr>
              <w:jc w:val="left"/>
              <w:rPr>
                <w:sz w:val="17"/>
                <w:szCs w:val="17"/>
              </w:rPr>
            </w:pPr>
          </w:p>
        </w:tc>
        <w:tc>
          <w:tcPr>
            <w:tcW w:w="2155" w:type="dxa"/>
            <w:shd w:val="clear" w:color="auto" w:fill="FFFFFF" w:themeFill="background1"/>
          </w:tcPr>
          <w:p w14:paraId="23904894" w14:textId="77777777" w:rsidR="009F4EBC" w:rsidRPr="00166D67" w:rsidRDefault="009F4EBC" w:rsidP="0059185F">
            <w:pPr>
              <w:jc w:val="left"/>
              <w:rPr>
                <w:sz w:val="17"/>
                <w:szCs w:val="17"/>
              </w:rPr>
            </w:pPr>
            <w:r w:rsidRPr="00166D67">
              <w:rPr>
                <w:sz w:val="17"/>
                <w:szCs w:val="17"/>
              </w:rPr>
              <w:t>Credit Institutions</w:t>
            </w:r>
          </w:p>
          <w:p w14:paraId="60E20C4D" w14:textId="77777777" w:rsidR="006E23BB" w:rsidRPr="00166D67" w:rsidRDefault="006E23BB" w:rsidP="0059185F">
            <w:pPr>
              <w:jc w:val="left"/>
              <w:rPr>
                <w:sz w:val="17"/>
                <w:szCs w:val="17"/>
              </w:rPr>
            </w:pPr>
          </w:p>
        </w:tc>
        <w:tc>
          <w:tcPr>
            <w:tcW w:w="5523" w:type="dxa"/>
            <w:shd w:val="clear" w:color="auto" w:fill="FFFFFF" w:themeFill="background1"/>
          </w:tcPr>
          <w:p w14:paraId="5207CE1C" w14:textId="3E3DA170" w:rsidR="009F4EBC" w:rsidRPr="00166D67" w:rsidRDefault="009F4EBC" w:rsidP="0059185F">
            <w:pPr>
              <w:jc w:val="left"/>
              <w:rPr>
                <w:sz w:val="17"/>
                <w:szCs w:val="17"/>
              </w:rPr>
            </w:pPr>
            <w:r w:rsidRPr="00166D67">
              <w:rPr>
                <w:sz w:val="17"/>
                <w:szCs w:val="17"/>
              </w:rPr>
              <w:t xml:space="preserve">In addition to the above measures, the CBI has </w:t>
            </w:r>
            <w:r w:rsidR="00FF001E" w:rsidRPr="00166D67">
              <w:rPr>
                <w:sz w:val="17"/>
                <w:szCs w:val="17"/>
              </w:rPr>
              <w:t>taken steps to ease</w:t>
            </w:r>
            <w:r w:rsidRPr="00166D67">
              <w:rPr>
                <w:sz w:val="17"/>
                <w:szCs w:val="17"/>
              </w:rPr>
              <w:t xml:space="preserve"> regulatory requirements for Credit Institutions. Deadlines for remedial actions and measures will be postponed by six months. Remittance dates for certain regulatory returns have also been extended to May and June 2020. The CBI expects to be notified of any delay in supervisory reports or Pillar 3 disclosures and to be provided with the reason for such delay and, to the extent possible, the anticipated publication date.</w:t>
            </w:r>
          </w:p>
          <w:p w14:paraId="20AC2B1B" w14:textId="27E0E330" w:rsidR="009F4EBC" w:rsidRPr="00166D67" w:rsidRDefault="009F4EBC" w:rsidP="0059185F">
            <w:pPr>
              <w:jc w:val="left"/>
              <w:rPr>
                <w:sz w:val="17"/>
                <w:szCs w:val="17"/>
              </w:rPr>
            </w:pPr>
            <w:r w:rsidRPr="00166D67">
              <w:rPr>
                <w:sz w:val="17"/>
                <w:szCs w:val="17"/>
              </w:rPr>
              <w:t xml:space="preserve">The CBI has also adopted capital and liquidity measures announced by the ECB and Single Supervisory Mechanism, along with other measures recommended by the EBA to provide regulatory flexibility. </w:t>
            </w:r>
          </w:p>
          <w:p w14:paraId="5AFEC9ED" w14:textId="5A05DAA2" w:rsidR="006E23BB" w:rsidRPr="00166D67" w:rsidRDefault="009F4EBC" w:rsidP="0059185F">
            <w:pPr>
              <w:jc w:val="left"/>
              <w:rPr>
                <w:sz w:val="17"/>
                <w:szCs w:val="17"/>
              </w:rPr>
            </w:pPr>
            <w:r w:rsidRPr="00166D67">
              <w:rPr>
                <w:sz w:val="17"/>
                <w:szCs w:val="17"/>
              </w:rPr>
              <w:t>The CBI has also called on Credit Institutions to review their remuneration policies to ensure they promote sound risk management. Deferral periods should be considered. Dividends for 2019 and 2020 should not be declared until at least 1 October 2020 and share buy-backs with the aim of remunerating shareholders should be avoided.</w:t>
            </w:r>
          </w:p>
        </w:tc>
      </w:tr>
      <w:tr w:rsidR="00AE0E00" w:rsidRPr="00166D67" w14:paraId="573C4291" w14:textId="77777777" w:rsidTr="001701F9">
        <w:trPr>
          <w:cantSplit/>
        </w:trPr>
        <w:tc>
          <w:tcPr>
            <w:tcW w:w="1097" w:type="dxa"/>
            <w:shd w:val="clear" w:color="auto" w:fill="FFFFFF" w:themeFill="background1"/>
          </w:tcPr>
          <w:p w14:paraId="5F6BD7E7" w14:textId="0FD9ECF3" w:rsidR="00360622" w:rsidRPr="007F1827" w:rsidRDefault="00360622" w:rsidP="0059185F">
            <w:pPr>
              <w:jc w:val="left"/>
              <w:rPr>
                <w:b/>
                <w:sz w:val="17"/>
                <w:szCs w:val="17"/>
              </w:rPr>
            </w:pPr>
            <w:r w:rsidRPr="007F1827">
              <w:rPr>
                <w:rFonts w:cs="Arial"/>
                <w:b/>
                <w:sz w:val="17"/>
                <w:szCs w:val="17"/>
              </w:rPr>
              <w:t>23 April 2020</w:t>
            </w:r>
          </w:p>
        </w:tc>
        <w:tc>
          <w:tcPr>
            <w:tcW w:w="1880" w:type="dxa"/>
            <w:shd w:val="clear" w:color="auto" w:fill="FFFFFF" w:themeFill="background1"/>
          </w:tcPr>
          <w:p w14:paraId="47469AA0" w14:textId="45EBE7A2" w:rsidR="00360622" w:rsidRPr="00166D67" w:rsidRDefault="00A324C3" w:rsidP="0059185F">
            <w:pPr>
              <w:jc w:val="left"/>
              <w:rPr>
                <w:sz w:val="17"/>
                <w:szCs w:val="17"/>
              </w:rPr>
            </w:pPr>
            <w:hyperlink r:id="rId33" w:history="1">
              <w:r w:rsidR="00557D42" w:rsidRPr="00166D67">
                <w:rPr>
                  <w:rStyle w:val="Hyperlink"/>
                  <w:sz w:val="17"/>
                  <w:szCs w:val="17"/>
                </w:rPr>
                <w:t>Central Bank publishes research on understanding SMEs in the Covid-19 pandemic</w:t>
              </w:r>
            </w:hyperlink>
          </w:p>
        </w:tc>
        <w:tc>
          <w:tcPr>
            <w:tcW w:w="1819" w:type="dxa"/>
            <w:shd w:val="clear" w:color="auto" w:fill="FFFFFF" w:themeFill="background1"/>
          </w:tcPr>
          <w:p w14:paraId="7AA6C091" w14:textId="77777777" w:rsidR="00360622" w:rsidRPr="00166D67" w:rsidRDefault="00360622" w:rsidP="0059185F">
            <w:pPr>
              <w:jc w:val="left"/>
              <w:rPr>
                <w:sz w:val="17"/>
                <w:szCs w:val="17"/>
              </w:rPr>
            </w:pPr>
          </w:p>
        </w:tc>
        <w:tc>
          <w:tcPr>
            <w:tcW w:w="2155" w:type="dxa"/>
            <w:shd w:val="clear" w:color="auto" w:fill="FFFFFF" w:themeFill="background1"/>
          </w:tcPr>
          <w:p w14:paraId="6A366FB6" w14:textId="31DA575A" w:rsidR="00360622" w:rsidRPr="00166D67" w:rsidRDefault="00AE0E00" w:rsidP="0059185F">
            <w:pPr>
              <w:jc w:val="left"/>
              <w:rPr>
                <w:sz w:val="17"/>
                <w:szCs w:val="17"/>
              </w:rPr>
            </w:pPr>
            <w:r w:rsidRPr="00166D67">
              <w:rPr>
                <w:rFonts w:cs="Arial"/>
                <w:sz w:val="17"/>
                <w:szCs w:val="17"/>
              </w:rPr>
              <w:t xml:space="preserve">Credit institutions,  </w:t>
            </w:r>
            <w:r w:rsidR="00360622" w:rsidRPr="00166D67">
              <w:rPr>
                <w:rFonts w:cs="Arial"/>
                <w:sz w:val="17"/>
                <w:szCs w:val="17"/>
              </w:rPr>
              <w:t>financial services providers</w:t>
            </w:r>
            <w:r w:rsidRPr="00166D67">
              <w:rPr>
                <w:rFonts w:cs="Arial"/>
                <w:sz w:val="17"/>
                <w:szCs w:val="17"/>
              </w:rPr>
              <w:t xml:space="preserve"> who invest in the SME sector and consumers</w:t>
            </w:r>
          </w:p>
        </w:tc>
        <w:tc>
          <w:tcPr>
            <w:tcW w:w="5523" w:type="dxa"/>
            <w:shd w:val="clear" w:color="auto" w:fill="FFFFFF" w:themeFill="background1"/>
          </w:tcPr>
          <w:p w14:paraId="45688ED4" w14:textId="79241A3C" w:rsidR="00360622" w:rsidRPr="00166D67" w:rsidRDefault="00945CE5" w:rsidP="0059185F">
            <w:pPr>
              <w:jc w:val="left"/>
              <w:rPr>
                <w:rFonts w:cs="Arial"/>
                <w:sz w:val="17"/>
                <w:szCs w:val="17"/>
              </w:rPr>
            </w:pPr>
            <w:r w:rsidRPr="00166D67">
              <w:rPr>
                <w:rFonts w:cs="Arial"/>
                <w:sz w:val="17"/>
                <w:szCs w:val="17"/>
              </w:rPr>
              <w:t xml:space="preserve">The </w:t>
            </w:r>
            <w:r w:rsidR="00360622" w:rsidRPr="00166D67">
              <w:rPr>
                <w:rFonts w:cs="Arial"/>
                <w:bCs/>
                <w:sz w:val="17"/>
                <w:szCs w:val="17"/>
              </w:rPr>
              <w:t>CBI</w:t>
            </w:r>
            <w:r w:rsidR="00360622" w:rsidRPr="00166D67">
              <w:rPr>
                <w:rFonts w:cs="Arial"/>
                <w:sz w:val="17"/>
                <w:szCs w:val="17"/>
              </w:rPr>
              <w:t xml:space="preserve"> has published two new Financial Stability Notes (</w:t>
            </w:r>
            <w:r w:rsidR="00360622" w:rsidRPr="00166D67">
              <w:rPr>
                <w:rFonts w:cs="Arial"/>
                <w:b/>
                <w:bCs/>
                <w:sz w:val="17"/>
                <w:szCs w:val="17"/>
              </w:rPr>
              <w:t>FSNs</w:t>
            </w:r>
            <w:r w:rsidR="00360622" w:rsidRPr="00166D67">
              <w:rPr>
                <w:rFonts w:cs="Arial"/>
                <w:sz w:val="17"/>
                <w:szCs w:val="17"/>
              </w:rPr>
              <w:t>) detailing with the impact of COVID-19 on liquidity. The first FSN discusses the likelihood that SMEs will need some form of external liquidity (it estimates around EUR 2.4 billion) if they are to continue to operate. In the event that private sector liquidity is insufficient to meet demand, the authors outline three options available to policymakers. These include credit guarantee schemes, lending schemes, and direct fiscal supports. The second FSN discusses issues in the supply chain due to the fact that trade credit is used heavily in Ireland, relative to other countries in the EU.</w:t>
            </w:r>
          </w:p>
        </w:tc>
      </w:tr>
      <w:tr w:rsidR="00991238" w:rsidRPr="00166D67" w14:paraId="1A3F8751" w14:textId="77777777" w:rsidTr="001701F9">
        <w:trPr>
          <w:cantSplit/>
        </w:trPr>
        <w:tc>
          <w:tcPr>
            <w:tcW w:w="1097" w:type="dxa"/>
            <w:shd w:val="clear" w:color="auto" w:fill="auto"/>
          </w:tcPr>
          <w:p w14:paraId="740FFE93" w14:textId="44A37522" w:rsidR="00991238" w:rsidRPr="007F1827" w:rsidRDefault="00991238" w:rsidP="0059185F">
            <w:pPr>
              <w:jc w:val="left"/>
              <w:rPr>
                <w:rFonts w:cs="Arial"/>
                <w:b/>
                <w:sz w:val="17"/>
                <w:szCs w:val="17"/>
              </w:rPr>
            </w:pPr>
            <w:r w:rsidRPr="007F1827">
              <w:rPr>
                <w:rFonts w:cs="Arial"/>
                <w:b/>
                <w:sz w:val="17"/>
                <w:szCs w:val="17"/>
              </w:rPr>
              <w:t>23 April 2020</w:t>
            </w:r>
          </w:p>
        </w:tc>
        <w:tc>
          <w:tcPr>
            <w:tcW w:w="1880" w:type="dxa"/>
            <w:shd w:val="clear" w:color="auto" w:fill="auto"/>
          </w:tcPr>
          <w:p w14:paraId="24A63C86" w14:textId="735322D8" w:rsidR="00991238" w:rsidRPr="00166D67" w:rsidRDefault="00A324C3" w:rsidP="0059185F">
            <w:pPr>
              <w:jc w:val="left"/>
              <w:rPr>
                <w:sz w:val="17"/>
                <w:szCs w:val="17"/>
              </w:rPr>
            </w:pPr>
            <w:hyperlink r:id="rId34" w:history="1">
              <w:r w:rsidR="00991238" w:rsidRPr="00166D67">
                <w:rPr>
                  <w:rStyle w:val="Hyperlink"/>
                  <w:sz w:val="17"/>
                  <w:szCs w:val="17"/>
                </w:rPr>
                <w:t>Governor's Blog: Covid-19 and the Financial System</w:t>
              </w:r>
            </w:hyperlink>
          </w:p>
        </w:tc>
        <w:tc>
          <w:tcPr>
            <w:tcW w:w="1819" w:type="dxa"/>
            <w:shd w:val="clear" w:color="auto" w:fill="auto"/>
          </w:tcPr>
          <w:p w14:paraId="186CA28B" w14:textId="77777777" w:rsidR="00991238" w:rsidRPr="00166D67" w:rsidRDefault="00991238" w:rsidP="0059185F">
            <w:pPr>
              <w:jc w:val="left"/>
              <w:rPr>
                <w:sz w:val="17"/>
                <w:szCs w:val="17"/>
              </w:rPr>
            </w:pPr>
          </w:p>
        </w:tc>
        <w:tc>
          <w:tcPr>
            <w:tcW w:w="2155" w:type="dxa"/>
            <w:shd w:val="clear" w:color="auto" w:fill="auto"/>
          </w:tcPr>
          <w:p w14:paraId="1AA47B60" w14:textId="5C104580" w:rsidR="00991238" w:rsidRPr="00166D67" w:rsidRDefault="00FC1148" w:rsidP="0059185F">
            <w:pPr>
              <w:jc w:val="left"/>
              <w:rPr>
                <w:rFonts w:cs="Arial"/>
                <w:sz w:val="17"/>
                <w:szCs w:val="17"/>
              </w:rPr>
            </w:pPr>
            <w:r w:rsidRPr="00166D67">
              <w:rPr>
                <w:sz w:val="17"/>
                <w:szCs w:val="17"/>
              </w:rPr>
              <w:t>All Regulated Financial Services Providers</w:t>
            </w:r>
          </w:p>
        </w:tc>
        <w:tc>
          <w:tcPr>
            <w:tcW w:w="5523" w:type="dxa"/>
            <w:shd w:val="clear" w:color="auto" w:fill="auto"/>
          </w:tcPr>
          <w:p w14:paraId="1FBAF786" w14:textId="77777777" w:rsidR="00991238" w:rsidRPr="00166D67" w:rsidRDefault="007F1F46" w:rsidP="0059185F">
            <w:pPr>
              <w:jc w:val="left"/>
              <w:rPr>
                <w:sz w:val="17"/>
                <w:szCs w:val="17"/>
              </w:rPr>
            </w:pPr>
            <w:r w:rsidRPr="00166D67">
              <w:rPr>
                <w:sz w:val="17"/>
                <w:szCs w:val="17"/>
              </w:rPr>
              <w:t xml:space="preserve">In this blog post, Governor </w:t>
            </w:r>
            <w:proofErr w:type="spellStart"/>
            <w:r w:rsidRPr="00166D67">
              <w:rPr>
                <w:sz w:val="17"/>
                <w:szCs w:val="17"/>
              </w:rPr>
              <w:t>Makhlouf</w:t>
            </w:r>
            <w:proofErr w:type="spellEnd"/>
            <w:r w:rsidRPr="00166D67">
              <w:rPr>
                <w:sz w:val="17"/>
                <w:szCs w:val="17"/>
              </w:rPr>
              <w:t xml:space="preserve"> discussed the role of the financial system in the economy as it copes with the impact of COVID-19 and what the Central Bank are doing about it. He noted that capital and liquidity buffers have been built up since the last financial crisis highlighting that the Irish system is much better placed to withstand shocks. </w:t>
            </w:r>
          </w:p>
          <w:p w14:paraId="331DD34A" w14:textId="5186FBFF" w:rsidR="007F1F46" w:rsidRPr="00166D67" w:rsidRDefault="007F1F46" w:rsidP="0059185F">
            <w:pPr>
              <w:jc w:val="left"/>
              <w:rPr>
                <w:rFonts w:cs="Arial"/>
                <w:sz w:val="17"/>
                <w:szCs w:val="17"/>
              </w:rPr>
            </w:pPr>
            <w:r w:rsidRPr="00166D67">
              <w:rPr>
                <w:sz w:val="17"/>
                <w:szCs w:val="17"/>
              </w:rPr>
              <w:t xml:space="preserve">Governor </w:t>
            </w:r>
            <w:proofErr w:type="spellStart"/>
            <w:r w:rsidRPr="00166D67">
              <w:rPr>
                <w:sz w:val="17"/>
                <w:szCs w:val="17"/>
              </w:rPr>
              <w:t>Makhlouf</w:t>
            </w:r>
            <w:proofErr w:type="spellEnd"/>
            <w:r w:rsidRPr="00166D67">
              <w:rPr>
                <w:sz w:val="17"/>
                <w:szCs w:val="17"/>
              </w:rPr>
              <w:t xml:space="preserve"> outlined that the Central Bank's priorities have been to: </w:t>
            </w:r>
            <w:proofErr w:type="spellStart"/>
            <w:r w:rsidRPr="00166D67">
              <w:rPr>
                <w:sz w:val="17"/>
                <w:szCs w:val="17"/>
              </w:rPr>
              <w:t>i</w:t>
            </w:r>
            <w:proofErr w:type="spellEnd"/>
            <w:r w:rsidRPr="00166D67">
              <w:rPr>
                <w:sz w:val="17"/>
                <w:szCs w:val="17"/>
              </w:rPr>
              <w:t xml:space="preserve">) ensure the financial system is better placed to support households and business through the crisis; and ii) support the recovery out of the crisis. </w:t>
            </w:r>
            <w:r w:rsidR="009C3F08" w:rsidRPr="00166D67">
              <w:rPr>
                <w:sz w:val="17"/>
                <w:szCs w:val="17"/>
              </w:rPr>
              <w:t>T</w:t>
            </w:r>
            <w:r w:rsidRPr="00166D67">
              <w:rPr>
                <w:sz w:val="17"/>
                <w:szCs w:val="17"/>
              </w:rPr>
              <w:t xml:space="preserve">he various emergency monetary </w:t>
            </w:r>
            <w:r w:rsidR="009C3F08" w:rsidRPr="00166D67">
              <w:rPr>
                <w:sz w:val="17"/>
                <w:szCs w:val="17"/>
              </w:rPr>
              <w:t>policies were</w:t>
            </w:r>
            <w:r w:rsidRPr="00166D67">
              <w:rPr>
                <w:sz w:val="17"/>
                <w:szCs w:val="17"/>
              </w:rPr>
              <w:t xml:space="preserve"> put in place to absorb, </w:t>
            </w:r>
            <w:r w:rsidR="009C3F08" w:rsidRPr="00166D67">
              <w:rPr>
                <w:sz w:val="17"/>
                <w:szCs w:val="17"/>
              </w:rPr>
              <w:t>rather than</w:t>
            </w:r>
            <w:r w:rsidRPr="00166D67">
              <w:rPr>
                <w:sz w:val="17"/>
                <w:szCs w:val="17"/>
              </w:rPr>
              <w:t xml:space="preserve"> amplify, the shock of</w:t>
            </w:r>
            <w:r w:rsidR="009C3F08" w:rsidRPr="00166D67">
              <w:rPr>
                <w:sz w:val="17"/>
                <w:szCs w:val="17"/>
              </w:rPr>
              <w:t xml:space="preserve"> the crisis supporting the</w:t>
            </w:r>
            <w:r w:rsidRPr="00166D67">
              <w:rPr>
                <w:sz w:val="17"/>
                <w:szCs w:val="17"/>
              </w:rPr>
              <w:t xml:space="preserve"> recover</w:t>
            </w:r>
            <w:r w:rsidR="009C3F08" w:rsidRPr="00166D67">
              <w:rPr>
                <w:sz w:val="17"/>
                <w:szCs w:val="17"/>
              </w:rPr>
              <w:t>y</w:t>
            </w:r>
            <w:r w:rsidRPr="00166D67">
              <w:rPr>
                <w:sz w:val="17"/>
                <w:szCs w:val="17"/>
              </w:rPr>
              <w:t xml:space="preserve">. </w:t>
            </w:r>
          </w:p>
        </w:tc>
      </w:tr>
      <w:tr w:rsidR="00AE0E00" w:rsidRPr="00166D67" w14:paraId="11427DE7" w14:textId="77777777" w:rsidTr="001701F9">
        <w:trPr>
          <w:cantSplit/>
        </w:trPr>
        <w:tc>
          <w:tcPr>
            <w:tcW w:w="1097" w:type="dxa"/>
            <w:shd w:val="clear" w:color="auto" w:fill="FFFFFF" w:themeFill="background1"/>
          </w:tcPr>
          <w:p w14:paraId="3DD28F90" w14:textId="794C6C21" w:rsidR="00360622" w:rsidRPr="007F1827" w:rsidRDefault="00360622" w:rsidP="0059185F">
            <w:pPr>
              <w:jc w:val="left"/>
              <w:rPr>
                <w:b/>
                <w:sz w:val="17"/>
                <w:szCs w:val="17"/>
              </w:rPr>
            </w:pPr>
            <w:r w:rsidRPr="007F1827">
              <w:rPr>
                <w:rFonts w:cs="Arial"/>
                <w:b/>
                <w:sz w:val="17"/>
                <w:szCs w:val="17"/>
              </w:rPr>
              <w:t>24 April 2020</w:t>
            </w:r>
          </w:p>
        </w:tc>
        <w:tc>
          <w:tcPr>
            <w:tcW w:w="1880" w:type="dxa"/>
            <w:shd w:val="clear" w:color="auto" w:fill="FFFFFF" w:themeFill="background1"/>
          </w:tcPr>
          <w:p w14:paraId="03DD16D1" w14:textId="77777777" w:rsidR="00360622" w:rsidRPr="00166D67" w:rsidRDefault="00A324C3" w:rsidP="0059185F">
            <w:pPr>
              <w:jc w:val="left"/>
              <w:rPr>
                <w:rFonts w:cs="Arial"/>
                <w:color w:val="0563C1"/>
                <w:sz w:val="17"/>
                <w:szCs w:val="17"/>
                <w:u w:val="single"/>
              </w:rPr>
            </w:pPr>
            <w:hyperlink r:id="rId35" w:history="1">
              <w:r w:rsidR="00360622" w:rsidRPr="00166D67">
                <w:rPr>
                  <w:rStyle w:val="Hyperlink"/>
                  <w:rFonts w:cs="Arial"/>
                  <w:sz w:val="17"/>
                  <w:szCs w:val="17"/>
                </w:rPr>
                <w:t>Letter to Credit Unions</w:t>
              </w:r>
            </w:hyperlink>
          </w:p>
          <w:p w14:paraId="51DA6DD0" w14:textId="77777777" w:rsidR="00360622" w:rsidRPr="00166D67" w:rsidRDefault="00360622" w:rsidP="0059185F">
            <w:pPr>
              <w:jc w:val="left"/>
              <w:rPr>
                <w:sz w:val="17"/>
                <w:szCs w:val="17"/>
              </w:rPr>
            </w:pPr>
          </w:p>
        </w:tc>
        <w:tc>
          <w:tcPr>
            <w:tcW w:w="1819" w:type="dxa"/>
            <w:shd w:val="clear" w:color="auto" w:fill="FFFFFF" w:themeFill="background1"/>
          </w:tcPr>
          <w:p w14:paraId="43B3B0FC" w14:textId="77777777" w:rsidR="00360622" w:rsidRPr="00166D67" w:rsidRDefault="00360622" w:rsidP="0059185F">
            <w:pPr>
              <w:jc w:val="left"/>
              <w:rPr>
                <w:sz w:val="17"/>
                <w:szCs w:val="17"/>
              </w:rPr>
            </w:pPr>
          </w:p>
        </w:tc>
        <w:tc>
          <w:tcPr>
            <w:tcW w:w="2155" w:type="dxa"/>
            <w:shd w:val="clear" w:color="auto" w:fill="FFFFFF" w:themeFill="background1"/>
          </w:tcPr>
          <w:p w14:paraId="5F998704" w14:textId="53C107E5" w:rsidR="00360622" w:rsidRPr="00166D67" w:rsidRDefault="00360622" w:rsidP="0059185F">
            <w:pPr>
              <w:jc w:val="left"/>
              <w:rPr>
                <w:sz w:val="17"/>
                <w:szCs w:val="17"/>
              </w:rPr>
            </w:pPr>
            <w:r w:rsidRPr="00166D67">
              <w:rPr>
                <w:rFonts w:cs="Arial"/>
                <w:sz w:val="17"/>
                <w:szCs w:val="17"/>
              </w:rPr>
              <w:t>Credit Unions</w:t>
            </w:r>
          </w:p>
        </w:tc>
        <w:tc>
          <w:tcPr>
            <w:tcW w:w="5523" w:type="dxa"/>
            <w:shd w:val="clear" w:color="auto" w:fill="FFFFFF" w:themeFill="background1"/>
          </w:tcPr>
          <w:p w14:paraId="1FDD8BA2" w14:textId="5D770222" w:rsidR="00360622" w:rsidRPr="00166D67" w:rsidRDefault="00360622" w:rsidP="0059185F">
            <w:pPr>
              <w:jc w:val="left"/>
              <w:rPr>
                <w:rFonts w:cs="Arial"/>
                <w:sz w:val="17"/>
                <w:szCs w:val="17"/>
              </w:rPr>
            </w:pPr>
            <w:r w:rsidRPr="00166D67">
              <w:rPr>
                <w:rFonts w:cs="Arial"/>
                <w:sz w:val="17"/>
                <w:szCs w:val="17"/>
              </w:rPr>
              <w:t>Patrick Casey, the Central Bank's Registrar of Credit Unions has written to the Irish League of Credit Unions setting out, in detail, aspects of regulatory forbearance which can be expected during the COVID-19 pandemic. The CBI recognised that many credit unions are under significant organisational stress and said that limited regulatory flexibility would be introduced in relation to the filling of pre-approval controlled function (PCF) roles on a temporary basis and reporting deadlines.</w:t>
            </w:r>
          </w:p>
        </w:tc>
      </w:tr>
      <w:tr w:rsidR="00AE0E00" w:rsidRPr="00166D67" w14:paraId="2A7AEADF" w14:textId="77777777" w:rsidTr="001701F9">
        <w:trPr>
          <w:cantSplit/>
        </w:trPr>
        <w:tc>
          <w:tcPr>
            <w:tcW w:w="1097" w:type="dxa"/>
            <w:shd w:val="clear" w:color="auto" w:fill="FFFFFF" w:themeFill="background1"/>
          </w:tcPr>
          <w:p w14:paraId="3EE4B54D" w14:textId="7D3D152E" w:rsidR="00360622" w:rsidRPr="007F1827" w:rsidRDefault="00360622" w:rsidP="0059185F">
            <w:pPr>
              <w:jc w:val="left"/>
              <w:rPr>
                <w:b/>
                <w:sz w:val="17"/>
                <w:szCs w:val="17"/>
              </w:rPr>
            </w:pPr>
            <w:r w:rsidRPr="007F1827">
              <w:rPr>
                <w:rFonts w:cs="Arial"/>
                <w:b/>
                <w:sz w:val="17"/>
                <w:szCs w:val="17"/>
              </w:rPr>
              <w:t>30 April 2020</w:t>
            </w:r>
          </w:p>
        </w:tc>
        <w:tc>
          <w:tcPr>
            <w:tcW w:w="1880" w:type="dxa"/>
            <w:shd w:val="clear" w:color="auto" w:fill="FFFFFF" w:themeFill="background1"/>
          </w:tcPr>
          <w:p w14:paraId="670C0F28" w14:textId="2B6290C8" w:rsidR="00360622" w:rsidRPr="00166D67" w:rsidRDefault="00A324C3" w:rsidP="0059185F">
            <w:pPr>
              <w:jc w:val="left"/>
              <w:rPr>
                <w:sz w:val="17"/>
                <w:szCs w:val="17"/>
              </w:rPr>
            </w:pPr>
            <w:hyperlink r:id="rId36" w:history="1">
              <w:r w:rsidR="00360622" w:rsidRPr="00166D67">
                <w:rPr>
                  <w:rStyle w:val="Hyperlink"/>
                  <w:rFonts w:cs="Arial"/>
                  <w:color w:val="2CD5C4" w:themeColor="accent1"/>
                  <w:sz w:val="17"/>
                  <w:szCs w:val="17"/>
                </w:rPr>
                <w:t>Measures related to investment funds in light of ongoing market uncertainty due to Covid-19​</w:t>
              </w:r>
            </w:hyperlink>
          </w:p>
        </w:tc>
        <w:tc>
          <w:tcPr>
            <w:tcW w:w="1819" w:type="dxa"/>
            <w:shd w:val="clear" w:color="auto" w:fill="FFFFFF" w:themeFill="background1"/>
          </w:tcPr>
          <w:p w14:paraId="54AE569C" w14:textId="51FA8231" w:rsidR="00360622" w:rsidRPr="00166D67" w:rsidRDefault="00A324C3" w:rsidP="0059185F">
            <w:pPr>
              <w:jc w:val="left"/>
              <w:rPr>
                <w:sz w:val="17"/>
                <w:szCs w:val="17"/>
              </w:rPr>
            </w:pPr>
            <w:hyperlink r:id="rId37" w:history="1">
              <w:r w:rsidR="00CD2B15" w:rsidRPr="00166D67">
                <w:rPr>
                  <w:rStyle w:val="Hyperlink"/>
                  <w:sz w:val="17"/>
                  <w:szCs w:val="17"/>
                </w:rPr>
                <w:t>Asset Management &amp; Investment Funds: Irish Practice Developments - Apr 2020</w:t>
              </w:r>
            </w:hyperlink>
            <w:r w:rsidR="00CD2B15" w:rsidRPr="00166D67">
              <w:rPr>
                <w:sz w:val="17"/>
                <w:szCs w:val="17"/>
              </w:rPr>
              <w:t xml:space="preserve"> </w:t>
            </w:r>
          </w:p>
        </w:tc>
        <w:tc>
          <w:tcPr>
            <w:tcW w:w="2155" w:type="dxa"/>
            <w:shd w:val="clear" w:color="auto" w:fill="FFFFFF" w:themeFill="background1"/>
          </w:tcPr>
          <w:p w14:paraId="3F3D79C9" w14:textId="40497E46" w:rsidR="00360622" w:rsidRPr="00166D67" w:rsidRDefault="00AE0E00" w:rsidP="0059185F">
            <w:pPr>
              <w:jc w:val="left"/>
              <w:rPr>
                <w:sz w:val="17"/>
                <w:szCs w:val="17"/>
              </w:rPr>
            </w:pPr>
            <w:r w:rsidRPr="00166D67">
              <w:rPr>
                <w:rFonts w:cs="Arial"/>
                <w:sz w:val="17"/>
                <w:szCs w:val="17"/>
              </w:rPr>
              <w:t>Fund management companies, i</w:t>
            </w:r>
            <w:r w:rsidR="00360622" w:rsidRPr="00166D67">
              <w:rPr>
                <w:rFonts w:cs="Arial"/>
                <w:sz w:val="17"/>
                <w:szCs w:val="17"/>
              </w:rPr>
              <w:t>nvestment management  firms</w:t>
            </w:r>
            <w:r w:rsidRPr="00166D67">
              <w:rPr>
                <w:rFonts w:cs="Arial"/>
                <w:sz w:val="17"/>
                <w:szCs w:val="17"/>
              </w:rPr>
              <w:t xml:space="preserve"> and their regulated parent undertakings</w:t>
            </w:r>
          </w:p>
        </w:tc>
        <w:tc>
          <w:tcPr>
            <w:tcW w:w="5523" w:type="dxa"/>
            <w:shd w:val="clear" w:color="auto" w:fill="FFFFFF" w:themeFill="background1"/>
          </w:tcPr>
          <w:p w14:paraId="6DEF5BB0" w14:textId="2EED4F18" w:rsidR="00561E2F" w:rsidRPr="00166D67" w:rsidRDefault="00360622" w:rsidP="0059185F">
            <w:pPr>
              <w:jc w:val="left"/>
              <w:rPr>
                <w:rFonts w:cs="Arial"/>
                <w:sz w:val="17"/>
                <w:szCs w:val="17"/>
              </w:rPr>
            </w:pPr>
            <w:r w:rsidRPr="00166D67">
              <w:rPr>
                <w:rFonts w:cs="Arial"/>
                <w:sz w:val="17"/>
                <w:szCs w:val="17"/>
              </w:rPr>
              <w:t>The letter sets out the Central Bank's expectation that effective liquidity management includes an assessment as to whether a UCITS or AIF has appropriate liquidity management tools in place. Where such tools are required or other changes need to be made to address liquidity management, the fund management company should take the necessary steps to amend the relevant fund documentation, giving notice to investors.</w:t>
            </w:r>
          </w:p>
          <w:p w14:paraId="2F6E7FDB" w14:textId="52D0657F" w:rsidR="00360622" w:rsidRPr="00166D67" w:rsidRDefault="00360622" w:rsidP="0059185F">
            <w:pPr>
              <w:jc w:val="left"/>
              <w:rPr>
                <w:rFonts w:cs="Arial"/>
                <w:sz w:val="17"/>
                <w:szCs w:val="17"/>
              </w:rPr>
            </w:pPr>
            <w:r w:rsidRPr="00166D67">
              <w:rPr>
                <w:rFonts w:cs="Arial"/>
                <w:sz w:val="17"/>
                <w:szCs w:val="17"/>
              </w:rPr>
              <w:t>Fund management companies are expected to minimise the potential for breaches of the Central Bank UCITS Regulations or the AIF Rulebook. Where breaches have occurr</w:t>
            </w:r>
            <w:r w:rsidR="00AE0E00" w:rsidRPr="00166D67">
              <w:rPr>
                <w:rFonts w:cs="Arial"/>
                <w:sz w:val="17"/>
                <w:szCs w:val="17"/>
              </w:rPr>
              <w:t xml:space="preserve">ed they should be reported to the </w:t>
            </w:r>
            <w:r w:rsidRPr="00166D67">
              <w:rPr>
                <w:rFonts w:cs="Arial"/>
                <w:sz w:val="17"/>
                <w:szCs w:val="17"/>
              </w:rPr>
              <w:t>Central Bank and may be subject to supervisory engagement. Remediation should be a priority objective, takin</w:t>
            </w:r>
            <w:r w:rsidR="00AE0E00" w:rsidRPr="00166D67">
              <w:rPr>
                <w:rFonts w:cs="Arial"/>
                <w:sz w:val="17"/>
                <w:szCs w:val="17"/>
              </w:rPr>
              <w:t>g</w:t>
            </w:r>
            <w:r w:rsidRPr="00166D67">
              <w:rPr>
                <w:rFonts w:cs="Arial"/>
                <w:sz w:val="17"/>
                <w:szCs w:val="17"/>
              </w:rPr>
              <w:t xml:space="preserve"> account of the interests of investors. Fund management companies should consider the appropriateness of communicating the occurrence of breaches to investors. </w:t>
            </w:r>
          </w:p>
          <w:p w14:paraId="507B0030" w14:textId="7028E6C7" w:rsidR="00360622" w:rsidRPr="00166D67" w:rsidRDefault="00360622" w:rsidP="0059185F">
            <w:pPr>
              <w:jc w:val="left"/>
              <w:rPr>
                <w:rFonts w:cs="Arial"/>
                <w:sz w:val="17"/>
                <w:szCs w:val="17"/>
              </w:rPr>
            </w:pPr>
            <w:r w:rsidRPr="00166D67">
              <w:rPr>
                <w:rFonts w:cs="Arial"/>
                <w:sz w:val="17"/>
                <w:szCs w:val="17"/>
              </w:rPr>
              <w:t xml:space="preserve">Fund management companies should also ensure that there is full disclosure of risks and other information material to investors' decisions. </w:t>
            </w:r>
          </w:p>
          <w:p w14:paraId="3475E910" w14:textId="19C31B17" w:rsidR="00360622" w:rsidRPr="00166D67" w:rsidRDefault="00360622" w:rsidP="0059185F">
            <w:pPr>
              <w:jc w:val="left"/>
              <w:rPr>
                <w:sz w:val="17"/>
                <w:szCs w:val="17"/>
              </w:rPr>
            </w:pPr>
            <w:r w:rsidRPr="00166D67">
              <w:rPr>
                <w:rFonts w:cs="Arial"/>
                <w:sz w:val="17"/>
                <w:szCs w:val="17"/>
              </w:rPr>
              <w:t xml:space="preserve">The letter also includes details on maintaining a minimum of two Irish resident directors and data collection. </w:t>
            </w:r>
          </w:p>
        </w:tc>
      </w:tr>
      <w:tr w:rsidR="00231454" w:rsidRPr="00166D67" w14:paraId="07406EAD" w14:textId="77777777" w:rsidTr="001701F9">
        <w:trPr>
          <w:cantSplit/>
        </w:trPr>
        <w:tc>
          <w:tcPr>
            <w:tcW w:w="1097" w:type="dxa"/>
            <w:shd w:val="clear" w:color="auto" w:fill="FFFFFF" w:themeFill="background1"/>
          </w:tcPr>
          <w:p w14:paraId="1325FF87" w14:textId="7FC5C88B" w:rsidR="00231454" w:rsidRPr="007F1827" w:rsidRDefault="00231454" w:rsidP="0059185F">
            <w:pPr>
              <w:jc w:val="left"/>
              <w:rPr>
                <w:rFonts w:cs="Arial"/>
                <w:b/>
                <w:sz w:val="17"/>
                <w:szCs w:val="17"/>
              </w:rPr>
            </w:pPr>
            <w:r w:rsidRPr="007F1827">
              <w:rPr>
                <w:rFonts w:cs="Arial"/>
                <w:b/>
                <w:sz w:val="17"/>
                <w:szCs w:val="17"/>
              </w:rPr>
              <w:t>30 April 2020</w:t>
            </w:r>
          </w:p>
        </w:tc>
        <w:tc>
          <w:tcPr>
            <w:tcW w:w="1880" w:type="dxa"/>
            <w:shd w:val="clear" w:color="auto" w:fill="FFFFFF" w:themeFill="background1"/>
          </w:tcPr>
          <w:p w14:paraId="33C89471" w14:textId="1B7AF87F" w:rsidR="00231454" w:rsidRPr="00166D67" w:rsidRDefault="00A324C3" w:rsidP="0059185F">
            <w:pPr>
              <w:jc w:val="left"/>
              <w:rPr>
                <w:sz w:val="17"/>
                <w:szCs w:val="17"/>
              </w:rPr>
            </w:pPr>
            <w:hyperlink r:id="rId38" w:history="1">
              <w:r w:rsidR="00231454" w:rsidRPr="00166D67">
                <w:rPr>
                  <w:rStyle w:val="Hyperlink"/>
                  <w:sz w:val="17"/>
                  <w:szCs w:val="17"/>
                </w:rPr>
                <w:t>Press Release</w:t>
              </w:r>
            </w:hyperlink>
          </w:p>
        </w:tc>
        <w:tc>
          <w:tcPr>
            <w:tcW w:w="1819" w:type="dxa"/>
            <w:shd w:val="clear" w:color="auto" w:fill="FFFFFF" w:themeFill="background1"/>
          </w:tcPr>
          <w:p w14:paraId="30F387F2" w14:textId="77777777" w:rsidR="00231454" w:rsidRPr="00166D67" w:rsidRDefault="00231454" w:rsidP="0059185F">
            <w:pPr>
              <w:jc w:val="left"/>
              <w:rPr>
                <w:sz w:val="17"/>
                <w:szCs w:val="17"/>
              </w:rPr>
            </w:pPr>
          </w:p>
        </w:tc>
        <w:tc>
          <w:tcPr>
            <w:tcW w:w="2155" w:type="dxa"/>
            <w:shd w:val="clear" w:color="auto" w:fill="FFFFFF" w:themeFill="background1"/>
          </w:tcPr>
          <w:p w14:paraId="09B3210A" w14:textId="19CEE06D" w:rsidR="00231454" w:rsidRPr="00166D67" w:rsidRDefault="00231454" w:rsidP="0059185F">
            <w:pPr>
              <w:jc w:val="left"/>
              <w:rPr>
                <w:rFonts w:cs="Arial"/>
                <w:sz w:val="17"/>
                <w:szCs w:val="17"/>
              </w:rPr>
            </w:pPr>
            <w:r w:rsidRPr="00166D67">
              <w:rPr>
                <w:rFonts w:cs="Arial"/>
                <w:sz w:val="17"/>
                <w:szCs w:val="17"/>
              </w:rPr>
              <w:t>Credit Institutions and borrowers</w:t>
            </w:r>
          </w:p>
        </w:tc>
        <w:tc>
          <w:tcPr>
            <w:tcW w:w="5523" w:type="dxa"/>
            <w:shd w:val="clear" w:color="auto" w:fill="FFFFFF" w:themeFill="background1"/>
          </w:tcPr>
          <w:p w14:paraId="3807331B" w14:textId="183F2462" w:rsidR="00231454" w:rsidRPr="00166D67" w:rsidRDefault="00231454" w:rsidP="0059185F">
            <w:pPr>
              <w:jc w:val="left"/>
              <w:rPr>
                <w:rFonts w:cs="Arial"/>
                <w:sz w:val="17"/>
                <w:szCs w:val="17"/>
              </w:rPr>
            </w:pPr>
            <w:r w:rsidRPr="00166D67">
              <w:rPr>
                <w:rFonts w:cs="Arial"/>
                <w:sz w:val="17"/>
                <w:szCs w:val="17"/>
              </w:rPr>
              <w:t>The Central Bank welcomed the announcement by the Banking and Payments Federation of Ireland that payment breaks are to be extended from three months to six months for affected borrowers. The Central Bank set out its expectation that borrowers should be given the option to repay the loan within the remaining term or extend the term and both options should be explained to the borrower. The payment break will not specifically be identified on the borrower's credit report on the Central Bank Credit Register.</w:t>
            </w:r>
          </w:p>
        </w:tc>
      </w:tr>
      <w:tr w:rsidR="00991238" w:rsidRPr="00166D67" w14:paraId="4D89A184" w14:textId="77777777" w:rsidTr="001701F9">
        <w:trPr>
          <w:cantSplit/>
        </w:trPr>
        <w:tc>
          <w:tcPr>
            <w:tcW w:w="1097" w:type="dxa"/>
            <w:shd w:val="clear" w:color="auto" w:fill="auto"/>
          </w:tcPr>
          <w:p w14:paraId="0F3C4A4F" w14:textId="123CD959" w:rsidR="00991238" w:rsidRPr="007F1827" w:rsidRDefault="00991238" w:rsidP="0059185F">
            <w:pPr>
              <w:jc w:val="left"/>
              <w:rPr>
                <w:rFonts w:cs="Arial"/>
                <w:b/>
                <w:sz w:val="17"/>
                <w:szCs w:val="17"/>
              </w:rPr>
            </w:pPr>
            <w:r w:rsidRPr="007F1827">
              <w:rPr>
                <w:rFonts w:cs="Arial"/>
                <w:b/>
                <w:sz w:val="17"/>
                <w:szCs w:val="17"/>
              </w:rPr>
              <w:t xml:space="preserve">6 May 2020 </w:t>
            </w:r>
          </w:p>
        </w:tc>
        <w:tc>
          <w:tcPr>
            <w:tcW w:w="1880" w:type="dxa"/>
            <w:shd w:val="clear" w:color="auto" w:fill="auto"/>
          </w:tcPr>
          <w:p w14:paraId="16FB61D6" w14:textId="71201C3C" w:rsidR="00991238" w:rsidRPr="00166D67" w:rsidRDefault="00A324C3" w:rsidP="0059185F">
            <w:pPr>
              <w:jc w:val="left"/>
              <w:rPr>
                <w:sz w:val="17"/>
                <w:szCs w:val="17"/>
              </w:rPr>
            </w:pPr>
            <w:hyperlink r:id="rId39" w:history="1">
              <w:r w:rsidR="00991238" w:rsidRPr="00166D67">
                <w:rPr>
                  <w:rStyle w:val="Hyperlink"/>
                  <w:sz w:val="17"/>
                  <w:szCs w:val="17"/>
                </w:rPr>
                <w:t>Governor's Blog: The Covid-19 Crisis and the Monetary Policy Response</w:t>
              </w:r>
            </w:hyperlink>
          </w:p>
        </w:tc>
        <w:tc>
          <w:tcPr>
            <w:tcW w:w="1819" w:type="dxa"/>
            <w:shd w:val="clear" w:color="auto" w:fill="auto"/>
          </w:tcPr>
          <w:p w14:paraId="44E51DDE" w14:textId="77777777" w:rsidR="00991238" w:rsidRPr="00166D67" w:rsidRDefault="00991238" w:rsidP="0059185F">
            <w:pPr>
              <w:jc w:val="left"/>
              <w:rPr>
                <w:sz w:val="17"/>
                <w:szCs w:val="17"/>
              </w:rPr>
            </w:pPr>
          </w:p>
        </w:tc>
        <w:tc>
          <w:tcPr>
            <w:tcW w:w="2155" w:type="dxa"/>
            <w:shd w:val="clear" w:color="auto" w:fill="auto"/>
          </w:tcPr>
          <w:p w14:paraId="24B7A04C" w14:textId="2338FB60" w:rsidR="00991238" w:rsidRPr="00166D67" w:rsidRDefault="00FC1148" w:rsidP="0059185F">
            <w:pPr>
              <w:jc w:val="left"/>
              <w:rPr>
                <w:rFonts w:cs="Arial"/>
                <w:sz w:val="17"/>
                <w:szCs w:val="17"/>
              </w:rPr>
            </w:pPr>
            <w:r w:rsidRPr="00166D67">
              <w:rPr>
                <w:sz w:val="17"/>
                <w:szCs w:val="17"/>
              </w:rPr>
              <w:t>All Regulated Financial Services Providers</w:t>
            </w:r>
          </w:p>
        </w:tc>
        <w:tc>
          <w:tcPr>
            <w:tcW w:w="5523" w:type="dxa"/>
            <w:shd w:val="clear" w:color="auto" w:fill="auto"/>
          </w:tcPr>
          <w:p w14:paraId="338D4480" w14:textId="0F6505AC" w:rsidR="00991238" w:rsidRPr="00166D67" w:rsidRDefault="009C3F08" w:rsidP="0059185F">
            <w:pPr>
              <w:jc w:val="left"/>
              <w:rPr>
                <w:rFonts w:cs="Arial"/>
                <w:sz w:val="17"/>
                <w:szCs w:val="17"/>
              </w:rPr>
            </w:pPr>
            <w:r w:rsidRPr="00166D67">
              <w:rPr>
                <w:sz w:val="17"/>
                <w:szCs w:val="17"/>
              </w:rPr>
              <w:t xml:space="preserve">In this blog post, Governor </w:t>
            </w:r>
            <w:proofErr w:type="spellStart"/>
            <w:r w:rsidRPr="00166D67">
              <w:rPr>
                <w:sz w:val="17"/>
                <w:szCs w:val="17"/>
              </w:rPr>
              <w:t>Makhlouf</w:t>
            </w:r>
            <w:proofErr w:type="spellEnd"/>
            <w:r w:rsidRPr="00166D67">
              <w:rPr>
                <w:sz w:val="17"/>
                <w:szCs w:val="17"/>
              </w:rPr>
              <w:t xml:space="preserve"> provided an overview of the discussions had by the Governing Council of the European Cen</w:t>
            </w:r>
            <w:r w:rsidR="0006639B" w:rsidRPr="00166D67">
              <w:rPr>
                <w:sz w:val="17"/>
                <w:szCs w:val="17"/>
              </w:rPr>
              <w:t xml:space="preserve">tral Bank at its latest meeting where the focus remained on COVID-19.  Updates included the lowering of the interest rates in TLTRO III and announcing new pandemic emergency longer-term refinancing operations (PELTRO), the objective of which is to provide liquidity support to the euro area financial system and contribute to preserving the smooth functioning of money markets. </w:t>
            </w:r>
          </w:p>
        </w:tc>
      </w:tr>
      <w:tr w:rsidR="00991238" w:rsidRPr="00166D67" w14:paraId="595A17BD" w14:textId="77777777" w:rsidTr="001701F9">
        <w:trPr>
          <w:cantSplit/>
        </w:trPr>
        <w:tc>
          <w:tcPr>
            <w:tcW w:w="1097" w:type="dxa"/>
            <w:shd w:val="clear" w:color="auto" w:fill="auto"/>
          </w:tcPr>
          <w:p w14:paraId="0223BA6C" w14:textId="54CB1198" w:rsidR="00991238" w:rsidRPr="007F1827" w:rsidRDefault="00991238" w:rsidP="0059185F">
            <w:pPr>
              <w:jc w:val="left"/>
              <w:rPr>
                <w:rFonts w:cs="Arial"/>
                <w:b/>
                <w:sz w:val="17"/>
                <w:szCs w:val="17"/>
              </w:rPr>
            </w:pPr>
            <w:r w:rsidRPr="007F1827">
              <w:rPr>
                <w:rFonts w:cs="Arial"/>
                <w:b/>
                <w:sz w:val="17"/>
                <w:szCs w:val="17"/>
              </w:rPr>
              <w:t>13 May 2020</w:t>
            </w:r>
          </w:p>
        </w:tc>
        <w:tc>
          <w:tcPr>
            <w:tcW w:w="1880" w:type="dxa"/>
            <w:shd w:val="clear" w:color="auto" w:fill="auto"/>
          </w:tcPr>
          <w:p w14:paraId="2FB38592" w14:textId="00F92E93" w:rsidR="00991238" w:rsidRPr="00166D67" w:rsidRDefault="00A324C3" w:rsidP="0059185F">
            <w:pPr>
              <w:jc w:val="left"/>
              <w:rPr>
                <w:sz w:val="17"/>
                <w:szCs w:val="17"/>
              </w:rPr>
            </w:pPr>
            <w:hyperlink r:id="rId40" w:history="1">
              <w:r w:rsidR="00991238" w:rsidRPr="00166D67">
                <w:rPr>
                  <w:rStyle w:val="Hyperlink"/>
                  <w:sz w:val="17"/>
                  <w:szCs w:val="17"/>
                </w:rPr>
                <w:t>Governor's Blog: Covid-19 and Developments in Credit</w:t>
              </w:r>
            </w:hyperlink>
            <w:r w:rsidR="00991238" w:rsidRPr="00166D67">
              <w:rPr>
                <w:sz w:val="17"/>
                <w:szCs w:val="17"/>
              </w:rPr>
              <w:t xml:space="preserve"> </w:t>
            </w:r>
          </w:p>
        </w:tc>
        <w:tc>
          <w:tcPr>
            <w:tcW w:w="1819" w:type="dxa"/>
            <w:shd w:val="clear" w:color="auto" w:fill="auto"/>
          </w:tcPr>
          <w:p w14:paraId="1517FEB2" w14:textId="77777777" w:rsidR="00991238" w:rsidRPr="00166D67" w:rsidRDefault="00991238" w:rsidP="0059185F">
            <w:pPr>
              <w:jc w:val="left"/>
              <w:rPr>
                <w:sz w:val="17"/>
                <w:szCs w:val="17"/>
              </w:rPr>
            </w:pPr>
          </w:p>
        </w:tc>
        <w:tc>
          <w:tcPr>
            <w:tcW w:w="2155" w:type="dxa"/>
            <w:shd w:val="clear" w:color="auto" w:fill="auto"/>
          </w:tcPr>
          <w:p w14:paraId="5492B62C" w14:textId="291C2010" w:rsidR="00991238" w:rsidRPr="00166D67" w:rsidRDefault="00991238" w:rsidP="0059185F">
            <w:pPr>
              <w:jc w:val="left"/>
              <w:rPr>
                <w:rFonts w:cs="Arial"/>
                <w:sz w:val="17"/>
                <w:szCs w:val="17"/>
              </w:rPr>
            </w:pPr>
            <w:r w:rsidRPr="00166D67">
              <w:rPr>
                <w:sz w:val="17"/>
                <w:szCs w:val="17"/>
              </w:rPr>
              <w:t>All Regulated Financial Services Providers</w:t>
            </w:r>
          </w:p>
        </w:tc>
        <w:tc>
          <w:tcPr>
            <w:tcW w:w="5523" w:type="dxa"/>
            <w:shd w:val="clear" w:color="auto" w:fill="auto"/>
          </w:tcPr>
          <w:p w14:paraId="1B63A914" w14:textId="014DB443" w:rsidR="00991238" w:rsidRPr="00166D67" w:rsidRDefault="009C3F08" w:rsidP="0059185F">
            <w:pPr>
              <w:jc w:val="left"/>
              <w:rPr>
                <w:rFonts w:cs="Arial"/>
                <w:sz w:val="17"/>
                <w:szCs w:val="17"/>
              </w:rPr>
            </w:pPr>
            <w:r w:rsidRPr="00166D67">
              <w:rPr>
                <w:sz w:val="17"/>
                <w:szCs w:val="17"/>
              </w:rPr>
              <w:t xml:space="preserve">In this blog post, Governor </w:t>
            </w:r>
            <w:proofErr w:type="spellStart"/>
            <w:r w:rsidRPr="00166D67">
              <w:rPr>
                <w:sz w:val="17"/>
                <w:szCs w:val="17"/>
              </w:rPr>
              <w:t>Makhlouf</w:t>
            </w:r>
            <w:proofErr w:type="spellEnd"/>
            <w:r w:rsidR="00AD6193" w:rsidRPr="00166D67">
              <w:rPr>
                <w:sz w:val="17"/>
                <w:szCs w:val="17"/>
              </w:rPr>
              <w:t xml:space="preserve"> discusses the provision of credit to the economy outlining the important role it plays in supporting households and businesses. He discussed the balance that must be met in providing the right amount of credit, the credit cycle and credit developments.  </w:t>
            </w:r>
          </w:p>
        </w:tc>
      </w:tr>
      <w:tr w:rsidR="0036079E" w:rsidRPr="00166D67" w14:paraId="3EC2219D" w14:textId="77777777" w:rsidTr="001701F9">
        <w:trPr>
          <w:cantSplit/>
        </w:trPr>
        <w:tc>
          <w:tcPr>
            <w:tcW w:w="1097" w:type="dxa"/>
            <w:shd w:val="clear" w:color="auto" w:fill="FFFFFF" w:themeFill="background1"/>
          </w:tcPr>
          <w:p w14:paraId="49136B0E" w14:textId="1598E562" w:rsidR="0036079E" w:rsidRPr="007F1827" w:rsidRDefault="0036079E" w:rsidP="0059185F">
            <w:pPr>
              <w:jc w:val="left"/>
              <w:rPr>
                <w:b/>
                <w:sz w:val="17"/>
                <w:szCs w:val="17"/>
              </w:rPr>
            </w:pPr>
            <w:r w:rsidRPr="007F1827">
              <w:rPr>
                <w:b/>
                <w:sz w:val="17"/>
                <w:szCs w:val="17"/>
              </w:rPr>
              <w:t>20 May 2020</w:t>
            </w:r>
          </w:p>
        </w:tc>
        <w:tc>
          <w:tcPr>
            <w:tcW w:w="1880" w:type="dxa"/>
            <w:shd w:val="clear" w:color="auto" w:fill="FFFFFF" w:themeFill="background1"/>
          </w:tcPr>
          <w:p w14:paraId="08FEE722" w14:textId="66BCC36F" w:rsidR="0036079E" w:rsidRPr="00166D67" w:rsidRDefault="00A324C3" w:rsidP="0059185F">
            <w:pPr>
              <w:jc w:val="left"/>
              <w:rPr>
                <w:sz w:val="17"/>
                <w:szCs w:val="17"/>
              </w:rPr>
            </w:pPr>
            <w:hyperlink r:id="rId41" w:history="1">
              <w:r w:rsidR="0036079E" w:rsidRPr="00166D67">
                <w:rPr>
                  <w:rStyle w:val="Hyperlink"/>
                  <w:sz w:val="17"/>
                  <w:szCs w:val="17"/>
                </w:rPr>
                <w:t>Confirmation of Regulatory Flexibility</w:t>
              </w:r>
            </w:hyperlink>
          </w:p>
        </w:tc>
        <w:tc>
          <w:tcPr>
            <w:tcW w:w="1819" w:type="dxa"/>
            <w:shd w:val="clear" w:color="auto" w:fill="FFFFFF" w:themeFill="background1"/>
          </w:tcPr>
          <w:p w14:paraId="35F5BE2C" w14:textId="77777777" w:rsidR="0036079E" w:rsidRPr="00166D67" w:rsidRDefault="0036079E" w:rsidP="0059185F">
            <w:pPr>
              <w:jc w:val="left"/>
              <w:rPr>
                <w:sz w:val="17"/>
                <w:szCs w:val="17"/>
              </w:rPr>
            </w:pPr>
          </w:p>
        </w:tc>
        <w:tc>
          <w:tcPr>
            <w:tcW w:w="2155" w:type="dxa"/>
            <w:shd w:val="clear" w:color="auto" w:fill="FFFFFF" w:themeFill="background1"/>
          </w:tcPr>
          <w:p w14:paraId="2F8D6804" w14:textId="7E7167CC" w:rsidR="0036079E" w:rsidRPr="00166D67" w:rsidRDefault="0036079E" w:rsidP="0059185F">
            <w:pPr>
              <w:jc w:val="left"/>
              <w:rPr>
                <w:sz w:val="17"/>
                <w:szCs w:val="17"/>
              </w:rPr>
            </w:pPr>
            <w:r w:rsidRPr="00166D67">
              <w:rPr>
                <w:sz w:val="17"/>
                <w:szCs w:val="17"/>
              </w:rPr>
              <w:t>MiFID Investment Firms subject to CRR/CRD IV</w:t>
            </w:r>
          </w:p>
        </w:tc>
        <w:tc>
          <w:tcPr>
            <w:tcW w:w="5523" w:type="dxa"/>
            <w:shd w:val="clear" w:color="auto" w:fill="FFFFFF" w:themeFill="background1"/>
          </w:tcPr>
          <w:p w14:paraId="5EDC269C" w14:textId="7EE14167" w:rsidR="0036079E" w:rsidRPr="00166D67" w:rsidRDefault="0036079E" w:rsidP="0059185F">
            <w:pPr>
              <w:jc w:val="left"/>
              <w:rPr>
                <w:sz w:val="17"/>
                <w:szCs w:val="17"/>
              </w:rPr>
            </w:pPr>
            <w:r w:rsidRPr="00166D67">
              <w:rPr>
                <w:sz w:val="17"/>
                <w:szCs w:val="17"/>
              </w:rPr>
              <w:t>The Central Bank confirmed that it would apply various measures outlined by European Supervisory Authorities in relation to the application of the prudential framework on targeted aspects in the area of market risk and on additional supervisory measures in the COVID-19 pandemic. The Central Bank also confirmed its approach to certain deadlines for bilateral margining under EMIR.</w:t>
            </w:r>
          </w:p>
        </w:tc>
      </w:tr>
      <w:tr w:rsidR="00991238" w:rsidRPr="00166D67" w14:paraId="00E057D6" w14:textId="77777777" w:rsidTr="001701F9">
        <w:trPr>
          <w:cantSplit/>
        </w:trPr>
        <w:tc>
          <w:tcPr>
            <w:tcW w:w="1097" w:type="dxa"/>
            <w:shd w:val="clear" w:color="auto" w:fill="auto"/>
          </w:tcPr>
          <w:p w14:paraId="7B399312" w14:textId="6E626931" w:rsidR="00991238" w:rsidRPr="007F1827" w:rsidRDefault="00991238" w:rsidP="0059185F">
            <w:pPr>
              <w:jc w:val="left"/>
              <w:rPr>
                <w:b/>
                <w:sz w:val="17"/>
                <w:szCs w:val="17"/>
              </w:rPr>
            </w:pPr>
            <w:r w:rsidRPr="007F1827">
              <w:rPr>
                <w:b/>
                <w:sz w:val="17"/>
                <w:szCs w:val="17"/>
              </w:rPr>
              <w:t>20 May 2020</w:t>
            </w:r>
          </w:p>
        </w:tc>
        <w:tc>
          <w:tcPr>
            <w:tcW w:w="1880" w:type="dxa"/>
            <w:shd w:val="clear" w:color="auto" w:fill="auto"/>
          </w:tcPr>
          <w:p w14:paraId="6ACC231B" w14:textId="7B88C924" w:rsidR="00991238" w:rsidRPr="00166D67" w:rsidRDefault="00A324C3" w:rsidP="0059185F">
            <w:pPr>
              <w:jc w:val="left"/>
              <w:rPr>
                <w:sz w:val="17"/>
                <w:szCs w:val="17"/>
              </w:rPr>
            </w:pPr>
            <w:hyperlink r:id="rId42" w:history="1">
              <w:r w:rsidR="00991238" w:rsidRPr="00166D67">
                <w:rPr>
                  <w:rStyle w:val="Hyperlink"/>
                  <w:sz w:val="17"/>
                  <w:szCs w:val="17"/>
                </w:rPr>
                <w:t>Governor's Blog: What can we Learn from History?</w:t>
              </w:r>
            </w:hyperlink>
            <w:r w:rsidR="00991238" w:rsidRPr="00166D67">
              <w:rPr>
                <w:sz w:val="17"/>
                <w:szCs w:val="17"/>
              </w:rPr>
              <w:t xml:space="preserve"> </w:t>
            </w:r>
          </w:p>
        </w:tc>
        <w:tc>
          <w:tcPr>
            <w:tcW w:w="1819" w:type="dxa"/>
            <w:shd w:val="clear" w:color="auto" w:fill="auto"/>
          </w:tcPr>
          <w:p w14:paraId="346BAF88" w14:textId="77777777" w:rsidR="00991238" w:rsidRPr="00166D67" w:rsidRDefault="00991238" w:rsidP="0059185F">
            <w:pPr>
              <w:jc w:val="left"/>
              <w:rPr>
                <w:sz w:val="17"/>
                <w:szCs w:val="17"/>
              </w:rPr>
            </w:pPr>
          </w:p>
        </w:tc>
        <w:tc>
          <w:tcPr>
            <w:tcW w:w="2155" w:type="dxa"/>
            <w:shd w:val="clear" w:color="auto" w:fill="auto"/>
          </w:tcPr>
          <w:p w14:paraId="2239BD77" w14:textId="27B36AFC" w:rsidR="00991238" w:rsidRPr="00166D67" w:rsidRDefault="00991238" w:rsidP="0059185F">
            <w:pPr>
              <w:jc w:val="left"/>
              <w:rPr>
                <w:sz w:val="17"/>
                <w:szCs w:val="17"/>
              </w:rPr>
            </w:pPr>
            <w:r w:rsidRPr="00166D67">
              <w:rPr>
                <w:sz w:val="17"/>
                <w:szCs w:val="17"/>
              </w:rPr>
              <w:t>All Regulated Financial Services Providers</w:t>
            </w:r>
          </w:p>
        </w:tc>
        <w:tc>
          <w:tcPr>
            <w:tcW w:w="5523" w:type="dxa"/>
            <w:shd w:val="clear" w:color="auto" w:fill="auto"/>
          </w:tcPr>
          <w:p w14:paraId="3B3A480D" w14:textId="77777777" w:rsidR="00A17AB0" w:rsidRPr="00166D67" w:rsidRDefault="009C3F08" w:rsidP="0059185F">
            <w:pPr>
              <w:jc w:val="left"/>
              <w:rPr>
                <w:sz w:val="17"/>
                <w:szCs w:val="17"/>
              </w:rPr>
            </w:pPr>
            <w:r w:rsidRPr="00166D67">
              <w:rPr>
                <w:sz w:val="17"/>
                <w:szCs w:val="17"/>
              </w:rPr>
              <w:t xml:space="preserve">In this blog post, Governor </w:t>
            </w:r>
            <w:proofErr w:type="spellStart"/>
            <w:r w:rsidRPr="00166D67">
              <w:rPr>
                <w:sz w:val="17"/>
                <w:szCs w:val="17"/>
              </w:rPr>
              <w:t>Makhlouf</w:t>
            </w:r>
            <w:proofErr w:type="spellEnd"/>
            <w:r w:rsidR="00A17AB0" w:rsidRPr="00166D67">
              <w:rPr>
                <w:sz w:val="17"/>
                <w:szCs w:val="17"/>
              </w:rPr>
              <w:t xml:space="preserve"> looks back at previous pandemics to see if we can learn from them. Drawing from the 1918 Great Influenza, Governor </w:t>
            </w:r>
            <w:proofErr w:type="spellStart"/>
            <w:r w:rsidR="00A17AB0" w:rsidRPr="00166D67">
              <w:rPr>
                <w:sz w:val="17"/>
                <w:szCs w:val="17"/>
              </w:rPr>
              <w:t>Makhlouf</w:t>
            </w:r>
            <w:proofErr w:type="spellEnd"/>
            <w:r w:rsidR="00A17AB0" w:rsidRPr="00166D67">
              <w:rPr>
                <w:sz w:val="17"/>
                <w:szCs w:val="17"/>
              </w:rPr>
              <w:t xml:space="preserve"> looks at the economic shocks, the cost of the pandemic and some current areas of focus in deciphering three lessons to be learned: </w:t>
            </w:r>
          </w:p>
          <w:p w14:paraId="2063820E" w14:textId="77777777" w:rsidR="00A17AB0" w:rsidRPr="00166D67" w:rsidRDefault="00A17AB0" w:rsidP="0059185F">
            <w:pPr>
              <w:pStyle w:val="ListParagraph"/>
              <w:numPr>
                <w:ilvl w:val="0"/>
                <w:numId w:val="20"/>
              </w:numPr>
              <w:jc w:val="left"/>
              <w:rPr>
                <w:sz w:val="17"/>
                <w:szCs w:val="17"/>
              </w:rPr>
            </w:pPr>
            <w:r w:rsidRPr="00166D67">
              <w:rPr>
                <w:sz w:val="17"/>
                <w:szCs w:val="17"/>
              </w:rPr>
              <w:t xml:space="preserve">The impact of pandemics can have long term structural effects that we may not be able to identify for some time after the event; </w:t>
            </w:r>
          </w:p>
          <w:p w14:paraId="07A6A7F4" w14:textId="2EF58B7A" w:rsidR="00A17AB0" w:rsidRPr="00166D67" w:rsidRDefault="00A17AB0" w:rsidP="0059185F">
            <w:pPr>
              <w:pStyle w:val="ListParagraph"/>
              <w:numPr>
                <w:ilvl w:val="0"/>
                <w:numId w:val="20"/>
              </w:numPr>
              <w:jc w:val="left"/>
              <w:rPr>
                <w:sz w:val="17"/>
                <w:szCs w:val="17"/>
              </w:rPr>
            </w:pPr>
            <w:r w:rsidRPr="00166D67">
              <w:rPr>
                <w:sz w:val="17"/>
                <w:szCs w:val="17"/>
              </w:rPr>
              <w:t xml:space="preserve">The short term economic costs from pandemics can be severe but containment measures are necessary and without them we would still face an economic downturn with an even worse public health emergency; and </w:t>
            </w:r>
          </w:p>
          <w:p w14:paraId="1C263588" w14:textId="60E3BFFA" w:rsidR="00A17AB0" w:rsidRPr="00166D67" w:rsidRDefault="00A17AB0" w:rsidP="0059185F">
            <w:pPr>
              <w:pStyle w:val="ListParagraph"/>
              <w:numPr>
                <w:ilvl w:val="0"/>
                <w:numId w:val="20"/>
              </w:numPr>
              <w:jc w:val="left"/>
              <w:rPr>
                <w:sz w:val="17"/>
                <w:szCs w:val="17"/>
              </w:rPr>
            </w:pPr>
            <w:r w:rsidRPr="00166D67">
              <w:rPr>
                <w:sz w:val="17"/>
                <w:szCs w:val="17"/>
              </w:rPr>
              <w:t>The most important lesson is that protecting lives is the overriding economic priority.</w:t>
            </w:r>
          </w:p>
        </w:tc>
      </w:tr>
      <w:tr w:rsidR="00834FB5" w:rsidRPr="00166D67" w14:paraId="6BAA3BE3" w14:textId="77777777" w:rsidTr="001701F9">
        <w:trPr>
          <w:cantSplit/>
        </w:trPr>
        <w:tc>
          <w:tcPr>
            <w:tcW w:w="1097" w:type="dxa"/>
            <w:shd w:val="clear" w:color="auto" w:fill="FFFFFF" w:themeFill="background1"/>
          </w:tcPr>
          <w:p w14:paraId="5D6A6E0D" w14:textId="70E3F728" w:rsidR="00834FB5" w:rsidRPr="007F1827" w:rsidRDefault="00834FB5" w:rsidP="0059185F">
            <w:pPr>
              <w:jc w:val="left"/>
              <w:rPr>
                <w:b/>
                <w:sz w:val="17"/>
                <w:szCs w:val="17"/>
              </w:rPr>
            </w:pPr>
            <w:r w:rsidRPr="007F1827">
              <w:rPr>
                <w:b/>
                <w:sz w:val="17"/>
                <w:szCs w:val="17"/>
              </w:rPr>
              <w:t>27 May 2020</w:t>
            </w:r>
          </w:p>
        </w:tc>
        <w:tc>
          <w:tcPr>
            <w:tcW w:w="1880" w:type="dxa"/>
            <w:shd w:val="clear" w:color="auto" w:fill="FFFFFF" w:themeFill="background1"/>
          </w:tcPr>
          <w:p w14:paraId="570CD6CB" w14:textId="667BAC02" w:rsidR="00834FB5" w:rsidRPr="00166D67" w:rsidRDefault="00A324C3" w:rsidP="0059185F">
            <w:pPr>
              <w:jc w:val="left"/>
              <w:rPr>
                <w:sz w:val="17"/>
                <w:szCs w:val="17"/>
              </w:rPr>
            </w:pPr>
            <w:hyperlink r:id="rId43" w:history="1">
              <w:r w:rsidR="00834FB5" w:rsidRPr="00166D67">
                <w:rPr>
                  <w:rStyle w:val="Hyperlink"/>
                  <w:sz w:val="17"/>
                  <w:szCs w:val="17"/>
                </w:rPr>
                <w:t>Governor's Blog: Transparency, accountability and central banking</w:t>
              </w:r>
            </w:hyperlink>
          </w:p>
        </w:tc>
        <w:tc>
          <w:tcPr>
            <w:tcW w:w="1819" w:type="dxa"/>
            <w:shd w:val="clear" w:color="auto" w:fill="FFFFFF" w:themeFill="background1"/>
          </w:tcPr>
          <w:p w14:paraId="2298FD12" w14:textId="77777777" w:rsidR="00834FB5" w:rsidRPr="00166D67" w:rsidRDefault="00834FB5" w:rsidP="0059185F">
            <w:pPr>
              <w:jc w:val="left"/>
              <w:rPr>
                <w:sz w:val="17"/>
                <w:szCs w:val="17"/>
              </w:rPr>
            </w:pPr>
          </w:p>
        </w:tc>
        <w:tc>
          <w:tcPr>
            <w:tcW w:w="2155" w:type="dxa"/>
            <w:shd w:val="clear" w:color="auto" w:fill="FFFFFF" w:themeFill="background1"/>
          </w:tcPr>
          <w:p w14:paraId="62314E6A" w14:textId="4E8143F8" w:rsidR="00834FB5" w:rsidRPr="00166D67" w:rsidRDefault="00970DE3" w:rsidP="0059185F">
            <w:pPr>
              <w:jc w:val="left"/>
              <w:rPr>
                <w:sz w:val="17"/>
                <w:szCs w:val="17"/>
              </w:rPr>
            </w:pPr>
            <w:r w:rsidRPr="00166D67">
              <w:rPr>
                <w:sz w:val="17"/>
                <w:szCs w:val="17"/>
              </w:rPr>
              <w:t>All Regulated Financial Services Providers</w:t>
            </w:r>
          </w:p>
        </w:tc>
        <w:tc>
          <w:tcPr>
            <w:tcW w:w="5523" w:type="dxa"/>
            <w:shd w:val="clear" w:color="auto" w:fill="FFFFFF" w:themeFill="background1"/>
          </w:tcPr>
          <w:p w14:paraId="189A1F2A" w14:textId="3969D6B0" w:rsidR="00834FB5" w:rsidRPr="00166D67" w:rsidRDefault="002377FC" w:rsidP="0059185F">
            <w:pPr>
              <w:jc w:val="left"/>
              <w:rPr>
                <w:sz w:val="17"/>
                <w:szCs w:val="17"/>
              </w:rPr>
            </w:pPr>
            <w:r w:rsidRPr="00166D67">
              <w:rPr>
                <w:sz w:val="17"/>
                <w:szCs w:val="17"/>
              </w:rPr>
              <w:t xml:space="preserve">Governor </w:t>
            </w:r>
            <w:proofErr w:type="spellStart"/>
            <w:r w:rsidRPr="00166D67">
              <w:rPr>
                <w:sz w:val="17"/>
                <w:szCs w:val="17"/>
              </w:rPr>
              <w:t>Makhlouf</w:t>
            </w:r>
            <w:proofErr w:type="spellEnd"/>
            <w:r w:rsidRPr="00166D67">
              <w:rPr>
                <w:sz w:val="17"/>
                <w:szCs w:val="17"/>
              </w:rPr>
              <w:t xml:space="preserve"> posted on his blog after the CBI published its Annual Report and Annual Performance Statement 2019. Governor </w:t>
            </w:r>
            <w:proofErr w:type="spellStart"/>
            <w:r w:rsidRPr="00166D67">
              <w:rPr>
                <w:sz w:val="17"/>
                <w:szCs w:val="17"/>
              </w:rPr>
              <w:t>Makhlouf</w:t>
            </w:r>
            <w:proofErr w:type="spellEnd"/>
            <w:r w:rsidRPr="00166D67">
              <w:rPr>
                <w:sz w:val="17"/>
                <w:szCs w:val="17"/>
              </w:rPr>
              <w:t xml:space="preserve"> highlighted the importance of open communication from the CBI as a way of building trust. Key features of the report include a €2bn surplus being transmitted back to the exchequer, and his announcement that the CBI will shortly publish its Financial Stability Review, detailing the risks posed </w:t>
            </w:r>
            <w:r w:rsidR="00970DE3" w:rsidRPr="00166D67">
              <w:rPr>
                <w:sz w:val="17"/>
                <w:szCs w:val="17"/>
              </w:rPr>
              <w:t>by COVID-19.</w:t>
            </w:r>
          </w:p>
        </w:tc>
      </w:tr>
      <w:tr w:rsidR="00834FB5" w:rsidRPr="00166D67" w14:paraId="3F30A8A2" w14:textId="77777777" w:rsidTr="001701F9">
        <w:trPr>
          <w:cantSplit/>
        </w:trPr>
        <w:tc>
          <w:tcPr>
            <w:tcW w:w="1097" w:type="dxa"/>
            <w:shd w:val="clear" w:color="auto" w:fill="FFFFFF" w:themeFill="background1"/>
          </w:tcPr>
          <w:p w14:paraId="1515A62A" w14:textId="31BA66C1" w:rsidR="00834FB5" w:rsidRPr="007F1827" w:rsidRDefault="00834FB5" w:rsidP="0059185F">
            <w:pPr>
              <w:jc w:val="left"/>
              <w:rPr>
                <w:b/>
                <w:sz w:val="17"/>
                <w:szCs w:val="17"/>
              </w:rPr>
            </w:pPr>
            <w:r w:rsidRPr="007F1827">
              <w:rPr>
                <w:b/>
                <w:sz w:val="17"/>
                <w:szCs w:val="17"/>
              </w:rPr>
              <w:t>5 June 2020</w:t>
            </w:r>
          </w:p>
        </w:tc>
        <w:tc>
          <w:tcPr>
            <w:tcW w:w="1880" w:type="dxa"/>
            <w:shd w:val="clear" w:color="auto" w:fill="FFFFFF" w:themeFill="background1"/>
          </w:tcPr>
          <w:p w14:paraId="7A94507A" w14:textId="41CF9FEB" w:rsidR="00834FB5" w:rsidRPr="00166D67" w:rsidRDefault="00A324C3" w:rsidP="0059185F">
            <w:pPr>
              <w:jc w:val="left"/>
              <w:rPr>
                <w:sz w:val="17"/>
                <w:szCs w:val="17"/>
              </w:rPr>
            </w:pPr>
            <w:hyperlink r:id="rId44" w:history="1">
              <w:r w:rsidR="00834FB5" w:rsidRPr="00166D67">
                <w:rPr>
                  <w:rStyle w:val="Hyperlink"/>
                  <w:sz w:val="17"/>
                  <w:szCs w:val="17"/>
                </w:rPr>
                <w:t xml:space="preserve">Protecting Consumers, Investors and SMEs during Covid-19 - Director General </w:t>
              </w:r>
              <w:proofErr w:type="spellStart"/>
              <w:r w:rsidR="00834FB5" w:rsidRPr="00166D67">
                <w:rPr>
                  <w:rStyle w:val="Hyperlink"/>
                  <w:sz w:val="17"/>
                  <w:szCs w:val="17"/>
                </w:rPr>
                <w:t>Derville</w:t>
              </w:r>
              <w:proofErr w:type="spellEnd"/>
              <w:r w:rsidR="00834FB5" w:rsidRPr="00166D67">
                <w:rPr>
                  <w:rStyle w:val="Hyperlink"/>
                  <w:sz w:val="17"/>
                  <w:szCs w:val="17"/>
                </w:rPr>
                <w:t xml:space="preserve"> Rowland</w:t>
              </w:r>
            </w:hyperlink>
            <w:r w:rsidR="00834FB5" w:rsidRPr="00166D67">
              <w:rPr>
                <w:sz w:val="17"/>
                <w:szCs w:val="17"/>
              </w:rPr>
              <w:t xml:space="preserve"> </w:t>
            </w:r>
          </w:p>
        </w:tc>
        <w:tc>
          <w:tcPr>
            <w:tcW w:w="1819" w:type="dxa"/>
            <w:shd w:val="clear" w:color="auto" w:fill="FFFFFF" w:themeFill="background1"/>
          </w:tcPr>
          <w:p w14:paraId="26E05381" w14:textId="01027A8E" w:rsidR="00834FB5" w:rsidRPr="00166D67" w:rsidRDefault="00834FB5" w:rsidP="0059185F">
            <w:pPr>
              <w:jc w:val="left"/>
              <w:rPr>
                <w:sz w:val="17"/>
                <w:szCs w:val="17"/>
              </w:rPr>
            </w:pPr>
          </w:p>
        </w:tc>
        <w:tc>
          <w:tcPr>
            <w:tcW w:w="2155" w:type="dxa"/>
            <w:shd w:val="clear" w:color="auto" w:fill="FFFFFF" w:themeFill="background1"/>
          </w:tcPr>
          <w:p w14:paraId="06F04705" w14:textId="4F5AC2D8" w:rsidR="00834FB5" w:rsidRPr="00166D67" w:rsidRDefault="002377FC" w:rsidP="0059185F">
            <w:pPr>
              <w:jc w:val="left"/>
              <w:rPr>
                <w:sz w:val="17"/>
                <w:szCs w:val="17"/>
              </w:rPr>
            </w:pPr>
            <w:r w:rsidRPr="00166D67">
              <w:rPr>
                <w:sz w:val="17"/>
                <w:szCs w:val="17"/>
              </w:rPr>
              <w:t>All Regulated Financial Services Providers and Consumers</w:t>
            </w:r>
          </w:p>
        </w:tc>
        <w:tc>
          <w:tcPr>
            <w:tcW w:w="5523" w:type="dxa"/>
            <w:shd w:val="clear" w:color="auto" w:fill="FFFFFF" w:themeFill="background1"/>
          </w:tcPr>
          <w:p w14:paraId="073787B4" w14:textId="34BEA0BC" w:rsidR="00834FB5" w:rsidRPr="00166D67" w:rsidRDefault="00170C36" w:rsidP="0059185F">
            <w:pPr>
              <w:jc w:val="left"/>
              <w:rPr>
                <w:sz w:val="17"/>
                <w:szCs w:val="17"/>
              </w:rPr>
            </w:pPr>
            <w:r w:rsidRPr="00166D67">
              <w:rPr>
                <w:sz w:val="17"/>
                <w:szCs w:val="17"/>
              </w:rPr>
              <w:t xml:space="preserve">The CBI's Director General, </w:t>
            </w:r>
            <w:proofErr w:type="spellStart"/>
            <w:r w:rsidRPr="00166D67">
              <w:rPr>
                <w:sz w:val="17"/>
                <w:szCs w:val="17"/>
              </w:rPr>
              <w:t>Derville</w:t>
            </w:r>
            <w:proofErr w:type="spellEnd"/>
            <w:r w:rsidRPr="00166D67">
              <w:rPr>
                <w:sz w:val="17"/>
                <w:szCs w:val="17"/>
              </w:rPr>
              <w:t xml:space="preserve"> Rowland, made these remarks while addressing the Association of Compliance Officers in Ireland. She addressed the scale of the economic impact of COVID-19 that the CBI foresees, and highlighted some of the key measures the CBI has taken since the beginning of the COVID-19 pandemic</w:t>
            </w:r>
            <w:r w:rsidR="00272155" w:rsidRPr="00166D67">
              <w:rPr>
                <w:sz w:val="17"/>
                <w:szCs w:val="17"/>
              </w:rPr>
              <w:t>, with a focus on consumer protection</w:t>
            </w:r>
            <w:r w:rsidRPr="00166D67">
              <w:rPr>
                <w:sz w:val="17"/>
                <w:szCs w:val="17"/>
              </w:rPr>
              <w:t xml:space="preserve">. </w:t>
            </w:r>
          </w:p>
          <w:p w14:paraId="4AE14569" w14:textId="4132B0D7" w:rsidR="00170C36" w:rsidRPr="00166D67" w:rsidRDefault="00170C36" w:rsidP="0059185F">
            <w:pPr>
              <w:jc w:val="left"/>
              <w:rPr>
                <w:sz w:val="17"/>
                <w:szCs w:val="17"/>
              </w:rPr>
            </w:pPr>
            <w:r w:rsidRPr="00166D67">
              <w:rPr>
                <w:sz w:val="17"/>
                <w:szCs w:val="17"/>
              </w:rPr>
              <w:t xml:space="preserve">The Director General referred to the CBI's expectation that Irish GDP may fall by as much as 8.3% in 2020, and then rebound thereafter. She also </w:t>
            </w:r>
            <w:r w:rsidR="002377FC" w:rsidRPr="00166D67">
              <w:rPr>
                <w:sz w:val="17"/>
                <w:szCs w:val="17"/>
              </w:rPr>
              <w:t>highlighted the release in Ireland of some capital liquidity buffers, instructions to banks to provide payment breaks to customers and guidance issued to insurers, instructing them to act honestly and fairly.</w:t>
            </w:r>
          </w:p>
        </w:tc>
      </w:tr>
      <w:tr w:rsidR="00307BBC" w:rsidRPr="00166D67" w14:paraId="59E9FB78" w14:textId="77777777" w:rsidTr="001701F9">
        <w:trPr>
          <w:cantSplit/>
        </w:trPr>
        <w:tc>
          <w:tcPr>
            <w:tcW w:w="1097" w:type="dxa"/>
            <w:shd w:val="clear" w:color="auto" w:fill="FFFFFF" w:themeFill="background1"/>
          </w:tcPr>
          <w:p w14:paraId="492EC7B8" w14:textId="67AEFB36" w:rsidR="00307BBC" w:rsidRPr="007F1827" w:rsidRDefault="00307BBC" w:rsidP="0059185F">
            <w:pPr>
              <w:jc w:val="left"/>
              <w:rPr>
                <w:b/>
                <w:sz w:val="17"/>
                <w:szCs w:val="17"/>
              </w:rPr>
            </w:pPr>
            <w:r w:rsidRPr="007F1827">
              <w:rPr>
                <w:b/>
                <w:sz w:val="17"/>
                <w:szCs w:val="17"/>
              </w:rPr>
              <w:t>8 June 2020</w:t>
            </w:r>
          </w:p>
        </w:tc>
        <w:tc>
          <w:tcPr>
            <w:tcW w:w="1880" w:type="dxa"/>
            <w:shd w:val="clear" w:color="auto" w:fill="FFFFFF" w:themeFill="background1"/>
          </w:tcPr>
          <w:p w14:paraId="22B0B510" w14:textId="135B291F" w:rsidR="00307BBC" w:rsidRPr="00166D67" w:rsidRDefault="00A324C3" w:rsidP="0059185F">
            <w:pPr>
              <w:jc w:val="left"/>
              <w:rPr>
                <w:color w:val="2CD5C4" w:themeColor="accent1"/>
                <w:sz w:val="17"/>
                <w:szCs w:val="17"/>
              </w:rPr>
            </w:pPr>
            <w:hyperlink r:id="rId45" w:history="1">
              <w:r w:rsidR="00307BBC" w:rsidRPr="00166D67">
                <w:rPr>
                  <w:rStyle w:val="Hyperlink"/>
                  <w:sz w:val="17"/>
                  <w:szCs w:val="17"/>
                </w:rPr>
                <w:t>Dear CEO Letter - Central Bank's expectations for payment breaks in banks and other lenders</w:t>
              </w:r>
            </w:hyperlink>
          </w:p>
        </w:tc>
        <w:tc>
          <w:tcPr>
            <w:tcW w:w="1819" w:type="dxa"/>
            <w:shd w:val="clear" w:color="auto" w:fill="FFFFFF" w:themeFill="background1"/>
          </w:tcPr>
          <w:p w14:paraId="701EEAC5" w14:textId="77777777" w:rsidR="00307BBC" w:rsidRPr="00166D67" w:rsidRDefault="00307BBC" w:rsidP="0059185F">
            <w:pPr>
              <w:jc w:val="left"/>
              <w:rPr>
                <w:sz w:val="17"/>
                <w:szCs w:val="17"/>
              </w:rPr>
            </w:pPr>
          </w:p>
        </w:tc>
        <w:tc>
          <w:tcPr>
            <w:tcW w:w="2155" w:type="dxa"/>
            <w:shd w:val="clear" w:color="auto" w:fill="FFFFFF" w:themeFill="background1"/>
          </w:tcPr>
          <w:p w14:paraId="6D681530" w14:textId="77777777" w:rsidR="00307BBC" w:rsidRPr="00166D67" w:rsidRDefault="00307BBC" w:rsidP="0059185F">
            <w:pPr>
              <w:jc w:val="left"/>
              <w:rPr>
                <w:sz w:val="17"/>
                <w:szCs w:val="17"/>
              </w:rPr>
            </w:pPr>
            <w:r w:rsidRPr="00166D67">
              <w:rPr>
                <w:sz w:val="17"/>
                <w:szCs w:val="17"/>
              </w:rPr>
              <w:t>Credit Institutions</w:t>
            </w:r>
          </w:p>
          <w:p w14:paraId="6D217E1A" w14:textId="4D01B677" w:rsidR="00307BBC" w:rsidRPr="00166D67" w:rsidRDefault="00307BBC" w:rsidP="0059185F">
            <w:pPr>
              <w:jc w:val="left"/>
              <w:rPr>
                <w:sz w:val="17"/>
                <w:szCs w:val="17"/>
              </w:rPr>
            </w:pPr>
            <w:r w:rsidRPr="00166D67">
              <w:rPr>
                <w:sz w:val="17"/>
                <w:szCs w:val="17"/>
              </w:rPr>
              <w:t>Retail Credit Firms</w:t>
            </w:r>
          </w:p>
        </w:tc>
        <w:tc>
          <w:tcPr>
            <w:tcW w:w="5523" w:type="dxa"/>
            <w:shd w:val="clear" w:color="auto" w:fill="FFFFFF" w:themeFill="background1"/>
          </w:tcPr>
          <w:p w14:paraId="38EF9312" w14:textId="49447AC5" w:rsidR="00307BBC" w:rsidRPr="00166D67" w:rsidRDefault="00DE5B2D" w:rsidP="0059185F">
            <w:pPr>
              <w:jc w:val="left"/>
              <w:rPr>
                <w:sz w:val="17"/>
                <w:szCs w:val="17"/>
              </w:rPr>
            </w:pPr>
            <w:r w:rsidRPr="00166D67">
              <w:rPr>
                <w:sz w:val="17"/>
                <w:szCs w:val="17"/>
              </w:rPr>
              <w:t>T</w:t>
            </w:r>
            <w:r w:rsidR="00307BBC" w:rsidRPr="00166D67">
              <w:rPr>
                <w:sz w:val="17"/>
                <w:szCs w:val="17"/>
              </w:rPr>
              <w:t>he CBI sent a letter to CEOs of banks and other lenders</w:t>
            </w:r>
            <w:r w:rsidRPr="00166D67">
              <w:rPr>
                <w:sz w:val="17"/>
                <w:szCs w:val="17"/>
              </w:rPr>
              <w:t xml:space="preserve"> </w:t>
            </w:r>
            <w:r w:rsidR="00307BBC" w:rsidRPr="00166D67">
              <w:rPr>
                <w:sz w:val="17"/>
                <w:szCs w:val="17"/>
              </w:rPr>
              <w:t>in relation to COVID-19 related payment breaks. The letter encourages such entities to be pro-active and consumer-centric in their measures to protect borrowers affected by COVID-19. The CBI sets out its overarching supervisory expectations and what is to be included in communications related to COVID-19 payment breaks in the appendices to the letter. The letter also lists a series of next steps required in order to comply with CBI expectations. Finally, the CBI notes that as the pandemic continues, it will continue to engage with firms to assess levels of compliance with expectations and effectiveness of each firm's operating models and capabilities.</w:t>
            </w:r>
          </w:p>
        </w:tc>
      </w:tr>
      <w:tr w:rsidR="00307BBC" w:rsidRPr="00166D67" w14:paraId="14D7E29E" w14:textId="77777777" w:rsidTr="001701F9">
        <w:trPr>
          <w:cantSplit/>
        </w:trPr>
        <w:tc>
          <w:tcPr>
            <w:tcW w:w="1097" w:type="dxa"/>
            <w:shd w:val="clear" w:color="auto" w:fill="FFFFFF" w:themeFill="background1"/>
          </w:tcPr>
          <w:p w14:paraId="68601868" w14:textId="09B95CA0" w:rsidR="00307BBC" w:rsidRPr="007F1827" w:rsidRDefault="00307BBC" w:rsidP="0059185F">
            <w:pPr>
              <w:jc w:val="left"/>
              <w:rPr>
                <w:b/>
                <w:sz w:val="17"/>
                <w:szCs w:val="17"/>
              </w:rPr>
            </w:pPr>
            <w:r w:rsidRPr="007F1827">
              <w:rPr>
                <w:b/>
                <w:sz w:val="17"/>
                <w:szCs w:val="17"/>
              </w:rPr>
              <w:t>8 June 2020</w:t>
            </w:r>
          </w:p>
        </w:tc>
        <w:tc>
          <w:tcPr>
            <w:tcW w:w="1880" w:type="dxa"/>
            <w:shd w:val="clear" w:color="auto" w:fill="FFFFFF" w:themeFill="background1"/>
          </w:tcPr>
          <w:p w14:paraId="27231675" w14:textId="667415B0" w:rsidR="00307BBC" w:rsidRPr="00166D67" w:rsidRDefault="00A324C3" w:rsidP="0059185F">
            <w:pPr>
              <w:jc w:val="left"/>
              <w:rPr>
                <w:color w:val="2CD5C4" w:themeColor="accent1"/>
                <w:sz w:val="17"/>
                <w:szCs w:val="17"/>
              </w:rPr>
            </w:pPr>
            <w:hyperlink r:id="rId46" w:history="1">
              <w:r w:rsidR="00307BBC" w:rsidRPr="00166D67">
                <w:rPr>
                  <w:rStyle w:val="Hyperlink"/>
                  <w:sz w:val="17"/>
                  <w:szCs w:val="17"/>
                </w:rPr>
                <w:t>Dear Chair Letter - Central Bank expectations for payment breaks in credit unions</w:t>
              </w:r>
            </w:hyperlink>
          </w:p>
          <w:p w14:paraId="49952DFD" w14:textId="77777777" w:rsidR="00307BBC" w:rsidRPr="00166D67" w:rsidRDefault="00307BBC" w:rsidP="0059185F">
            <w:pPr>
              <w:jc w:val="left"/>
              <w:rPr>
                <w:color w:val="2CD5C4" w:themeColor="accent1"/>
                <w:sz w:val="17"/>
                <w:szCs w:val="17"/>
              </w:rPr>
            </w:pPr>
          </w:p>
        </w:tc>
        <w:tc>
          <w:tcPr>
            <w:tcW w:w="1819" w:type="dxa"/>
            <w:shd w:val="clear" w:color="auto" w:fill="FFFFFF" w:themeFill="background1"/>
          </w:tcPr>
          <w:p w14:paraId="7B122570" w14:textId="77777777" w:rsidR="00307BBC" w:rsidRPr="00166D67" w:rsidRDefault="00307BBC" w:rsidP="0059185F">
            <w:pPr>
              <w:jc w:val="left"/>
              <w:rPr>
                <w:sz w:val="17"/>
                <w:szCs w:val="17"/>
              </w:rPr>
            </w:pPr>
          </w:p>
        </w:tc>
        <w:tc>
          <w:tcPr>
            <w:tcW w:w="2155" w:type="dxa"/>
            <w:shd w:val="clear" w:color="auto" w:fill="FFFFFF" w:themeFill="background1"/>
          </w:tcPr>
          <w:p w14:paraId="0233346D" w14:textId="0821400D" w:rsidR="00307BBC" w:rsidRPr="00166D67" w:rsidRDefault="00307BBC" w:rsidP="0059185F">
            <w:pPr>
              <w:jc w:val="left"/>
              <w:rPr>
                <w:sz w:val="17"/>
                <w:szCs w:val="17"/>
              </w:rPr>
            </w:pPr>
            <w:r w:rsidRPr="00166D67">
              <w:rPr>
                <w:sz w:val="17"/>
                <w:szCs w:val="17"/>
              </w:rPr>
              <w:t>Credit Unions</w:t>
            </w:r>
          </w:p>
        </w:tc>
        <w:tc>
          <w:tcPr>
            <w:tcW w:w="5523" w:type="dxa"/>
            <w:shd w:val="clear" w:color="auto" w:fill="FFFFFF" w:themeFill="background1"/>
          </w:tcPr>
          <w:p w14:paraId="1EB41AD1" w14:textId="4DA68CA8" w:rsidR="00307BBC" w:rsidRPr="00166D67" w:rsidRDefault="00307BBC" w:rsidP="0059185F">
            <w:pPr>
              <w:jc w:val="left"/>
              <w:rPr>
                <w:sz w:val="17"/>
                <w:szCs w:val="17"/>
              </w:rPr>
            </w:pPr>
            <w:r w:rsidRPr="00166D67">
              <w:rPr>
                <w:sz w:val="17"/>
                <w:szCs w:val="17"/>
              </w:rPr>
              <w:t xml:space="preserve">The CBI sent a letter to Chairs of Irish credit unions concerning COVID-19 related payment breaks. The letter notes that there has not been a major number of loan forbearance requests, and the total amounts to approximately 5% of gross loans outstanding. </w:t>
            </w:r>
          </w:p>
          <w:p w14:paraId="016EDB18" w14:textId="03CA539C" w:rsidR="00307BBC" w:rsidRPr="00166D67" w:rsidRDefault="00307BBC" w:rsidP="0059185F">
            <w:pPr>
              <w:jc w:val="left"/>
              <w:rPr>
                <w:sz w:val="17"/>
                <w:szCs w:val="17"/>
              </w:rPr>
            </w:pPr>
            <w:r w:rsidRPr="00166D67">
              <w:rPr>
                <w:sz w:val="17"/>
                <w:szCs w:val="17"/>
              </w:rPr>
              <w:t xml:space="preserve">Credit unions have provided a variety of non-uniform support measures to borrowers impacted by COVID-19. The letter sets out uniform key expectations for credit unions regarding payment breaks. It also instructs credit unions not to label COVID-19 payment breaks as being "missed", "past due" or "restructured". Credit unions should instead provide the information via the appropriate CBI template. Finally, credit unions should continue to engage in appropriate risk mitigation </w:t>
            </w:r>
            <w:r w:rsidR="004C1EBD" w:rsidRPr="00166D67">
              <w:rPr>
                <w:sz w:val="17"/>
                <w:szCs w:val="17"/>
              </w:rPr>
              <w:t>programmes</w:t>
            </w:r>
            <w:r w:rsidRPr="00166D67">
              <w:rPr>
                <w:sz w:val="17"/>
                <w:szCs w:val="17"/>
              </w:rPr>
              <w:t xml:space="preserve"> in order to identify, manage and mitigate risks. </w:t>
            </w:r>
          </w:p>
        </w:tc>
      </w:tr>
      <w:tr w:rsidR="0080416F" w:rsidRPr="00166D67" w14:paraId="2B88DCDD" w14:textId="77777777" w:rsidTr="001701F9">
        <w:trPr>
          <w:cantSplit/>
        </w:trPr>
        <w:tc>
          <w:tcPr>
            <w:tcW w:w="1097" w:type="dxa"/>
            <w:shd w:val="clear" w:color="auto" w:fill="FFFFFF" w:themeFill="background1"/>
          </w:tcPr>
          <w:p w14:paraId="661361F4" w14:textId="0D84D209" w:rsidR="0080416F" w:rsidRPr="007F1827" w:rsidRDefault="0080416F" w:rsidP="0059185F">
            <w:pPr>
              <w:jc w:val="left"/>
              <w:rPr>
                <w:b/>
                <w:sz w:val="17"/>
                <w:szCs w:val="17"/>
              </w:rPr>
            </w:pPr>
            <w:r w:rsidRPr="007F1827">
              <w:rPr>
                <w:b/>
                <w:sz w:val="17"/>
                <w:szCs w:val="17"/>
              </w:rPr>
              <w:t>11 June 2020</w:t>
            </w:r>
          </w:p>
        </w:tc>
        <w:tc>
          <w:tcPr>
            <w:tcW w:w="1880" w:type="dxa"/>
            <w:shd w:val="clear" w:color="auto" w:fill="FFFFFF" w:themeFill="background1"/>
          </w:tcPr>
          <w:p w14:paraId="10A1AF5A" w14:textId="2FC19E70" w:rsidR="0080416F" w:rsidRPr="00166D67" w:rsidRDefault="00A324C3" w:rsidP="0059185F">
            <w:pPr>
              <w:jc w:val="left"/>
              <w:rPr>
                <w:sz w:val="17"/>
                <w:szCs w:val="17"/>
              </w:rPr>
            </w:pPr>
            <w:hyperlink r:id="rId47" w:history="1">
              <w:r w:rsidR="0080416F" w:rsidRPr="00166D67">
                <w:rPr>
                  <w:rStyle w:val="Hyperlink"/>
                  <w:sz w:val="17"/>
                  <w:szCs w:val="17"/>
                </w:rPr>
                <w:t>Governor's Blog: The Economic Outlook and Monetary Policy</w:t>
              </w:r>
            </w:hyperlink>
          </w:p>
        </w:tc>
        <w:tc>
          <w:tcPr>
            <w:tcW w:w="1819" w:type="dxa"/>
            <w:shd w:val="clear" w:color="auto" w:fill="FFFFFF" w:themeFill="background1"/>
          </w:tcPr>
          <w:p w14:paraId="25D0BDC7" w14:textId="77777777" w:rsidR="0080416F" w:rsidRPr="00166D67" w:rsidRDefault="0080416F" w:rsidP="0059185F">
            <w:pPr>
              <w:jc w:val="left"/>
              <w:rPr>
                <w:sz w:val="17"/>
                <w:szCs w:val="17"/>
              </w:rPr>
            </w:pPr>
          </w:p>
        </w:tc>
        <w:tc>
          <w:tcPr>
            <w:tcW w:w="2155" w:type="dxa"/>
            <w:shd w:val="clear" w:color="auto" w:fill="FFFFFF" w:themeFill="background1"/>
          </w:tcPr>
          <w:p w14:paraId="540D49F7" w14:textId="1331BCBF" w:rsidR="0080416F" w:rsidRPr="00166D67" w:rsidRDefault="009A047A" w:rsidP="0059185F">
            <w:pPr>
              <w:jc w:val="left"/>
              <w:rPr>
                <w:sz w:val="17"/>
                <w:szCs w:val="17"/>
              </w:rPr>
            </w:pPr>
            <w:r w:rsidRPr="00166D67">
              <w:rPr>
                <w:sz w:val="17"/>
                <w:szCs w:val="17"/>
              </w:rPr>
              <w:t>All Regulated Financial Services Providers</w:t>
            </w:r>
          </w:p>
        </w:tc>
        <w:tc>
          <w:tcPr>
            <w:tcW w:w="5523" w:type="dxa"/>
            <w:shd w:val="clear" w:color="auto" w:fill="FFFFFF" w:themeFill="background1"/>
          </w:tcPr>
          <w:p w14:paraId="2A03B879" w14:textId="77777777" w:rsidR="007312F3" w:rsidRPr="00166D67" w:rsidRDefault="007312F3" w:rsidP="0059185F">
            <w:pPr>
              <w:jc w:val="left"/>
              <w:rPr>
                <w:sz w:val="17"/>
                <w:szCs w:val="17"/>
              </w:rPr>
            </w:pPr>
            <w:r w:rsidRPr="00166D67">
              <w:rPr>
                <w:sz w:val="17"/>
                <w:szCs w:val="17"/>
              </w:rPr>
              <w:t xml:space="preserve">In this blog post, Governor </w:t>
            </w:r>
            <w:proofErr w:type="spellStart"/>
            <w:r w:rsidRPr="00166D67">
              <w:rPr>
                <w:sz w:val="17"/>
                <w:szCs w:val="17"/>
              </w:rPr>
              <w:t>Makhlouf</w:t>
            </w:r>
            <w:proofErr w:type="spellEnd"/>
            <w:r w:rsidRPr="00166D67">
              <w:rPr>
                <w:sz w:val="17"/>
                <w:szCs w:val="17"/>
              </w:rPr>
              <w:t xml:space="preserve"> focused on the economic outlook for the Euro Area and on the decision of the ECB to increase the envelope of purchases under the Pandemic Emergency Purchase Programme (PEPP) to €1,350 billion. The PEPP will contribute to an easing of the monetary policy stance and help to maintain supportive financing conditions for the real economy. </w:t>
            </w:r>
          </w:p>
          <w:p w14:paraId="1CDB7E4C" w14:textId="713B744F" w:rsidR="0080416F" w:rsidRPr="00166D67" w:rsidRDefault="007312F3" w:rsidP="006F2AD7">
            <w:pPr>
              <w:tabs>
                <w:tab w:val="left" w:pos="915"/>
              </w:tabs>
              <w:jc w:val="left"/>
              <w:rPr>
                <w:sz w:val="17"/>
                <w:szCs w:val="17"/>
              </w:rPr>
            </w:pPr>
            <w:r w:rsidRPr="00166D67">
              <w:rPr>
                <w:sz w:val="17"/>
                <w:szCs w:val="17"/>
              </w:rPr>
              <w:t xml:space="preserve">He noted the decline of 3.6% of GDP in the euro area in Q1 2020 and the sharp deterioration in labour markets, resulting in downward revisions of macroeconomic projections from 2020-22. Governor </w:t>
            </w:r>
            <w:proofErr w:type="spellStart"/>
            <w:r w:rsidRPr="00166D67">
              <w:rPr>
                <w:sz w:val="17"/>
                <w:szCs w:val="17"/>
              </w:rPr>
              <w:t>Makhlouf</w:t>
            </w:r>
            <w:proofErr w:type="spellEnd"/>
            <w:r w:rsidRPr="00166D67">
              <w:rPr>
                <w:sz w:val="17"/>
                <w:szCs w:val="17"/>
              </w:rPr>
              <w:t xml:space="preserve"> also noted World Environment Day and reiterated the CBI's pledge to a low carbon economy.</w:t>
            </w:r>
          </w:p>
        </w:tc>
      </w:tr>
      <w:tr w:rsidR="00DD4339" w:rsidRPr="00166D67" w14:paraId="53E7C139" w14:textId="77777777" w:rsidTr="001701F9">
        <w:trPr>
          <w:cantSplit/>
        </w:trPr>
        <w:tc>
          <w:tcPr>
            <w:tcW w:w="1097" w:type="dxa"/>
            <w:shd w:val="clear" w:color="auto" w:fill="FFFFFF" w:themeFill="background1"/>
          </w:tcPr>
          <w:p w14:paraId="092B3A77" w14:textId="36D3C62A" w:rsidR="00DD4339" w:rsidRPr="007F1827" w:rsidRDefault="00DD4339" w:rsidP="0059185F">
            <w:pPr>
              <w:jc w:val="left"/>
              <w:rPr>
                <w:b/>
                <w:sz w:val="17"/>
                <w:szCs w:val="17"/>
              </w:rPr>
            </w:pPr>
            <w:r w:rsidRPr="007F1827">
              <w:rPr>
                <w:b/>
                <w:sz w:val="17"/>
                <w:szCs w:val="17"/>
              </w:rPr>
              <w:t>16 June 2020</w:t>
            </w:r>
          </w:p>
        </w:tc>
        <w:tc>
          <w:tcPr>
            <w:tcW w:w="1880" w:type="dxa"/>
            <w:shd w:val="clear" w:color="auto" w:fill="FFFFFF" w:themeFill="background1"/>
          </w:tcPr>
          <w:p w14:paraId="5A6EA3FF" w14:textId="1A895446" w:rsidR="00DD4339" w:rsidRPr="00166D67" w:rsidRDefault="00A324C3" w:rsidP="0059185F">
            <w:pPr>
              <w:jc w:val="left"/>
              <w:rPr>
                <w:sz w:val="17"/>
                <w:szCs w:val="17"/>
              </w:rPr>
            </w:pPr>
            <w:hyperlink r:id="rId48" w:history="1">
              <w:r w:rsidR="00DD4339" w:rsidRPr="00166D67">
                <w:rPr>
                  <w:rStyle w:val="Hyperlink"/>
                  <w:sz w:val="17"/>
                  <w:szCs w:val="17"/>
                </w:rPr>
                <w:t>Press release: Impact of COVID-19 pandemic on real economy has yet to fully materialise – Central Bank of Ireland</w:t>
              </w:r>
            </w:hyperlink>
          </w:p>
        </w:tc>
        <w:tc>
          <w:tcPr>
            <w:tcW w:w="1819" w:type="dxa"/>
            <w:shd w:val="clear" w:color="auto" w:fill="FFFFFF" w:themeFill="background1"/>
          </w:tcPr>
          <w:p w14:paraId="61965363" w14:textId="77777777" w:rsidR="00DD4339" w:rsidRPr="00166D67" w:rsidRDefault="00DD4339" w:rsidP="0059185F">
            <w:pPr>
              <w:jc w:val="left"/>
              <w:rPr>
                <w:color w:val="FF0000"/>
                <w:sz w:val="17"/>
                <w:szCs w:val="17"/>
              </w:rPr>
            </w:pPr>
          </w:p>
        </w:tc>
        <w:tc>
          <w:tcPr>
            <w:tcW w:w="2155" w:type="dxa"/>
            <w:shd w:val="clear" w:color="auto" w:fill="FFFFFF" w:themeFill="background1"/>
          </w:tcPr>
          <w:p w14:paraId="5F09F06E" w14:textId="4A479310" w:rsidR="00DD4339" w:rsidRPr="00166D67" w:rsidRDefault="00DD4339" w:rsidP="0059185F">
            <w:pPr>
              <w:jc w:val="left"/>
              <w:rPr>
                <w:sz w:val="17"/>
                <w:szCs w:val="17"/>
              </w:rPr>
            </w:pPr>
            <w:r w:rsidRPr="00166D67">
              <w:rPr>
                <w:sz w:val="17"/>
                <w:szCs w:val="17"/>
              </w:rPr>
              <w:t>All Regulated Financial Services Providers and Consumers</w:t>
            </w:r>
          </w:p>
        </w:tc>
        <w:tc>
          <w:tcPr>
            <w:tcW w:w="5523" w:type="dxa"/>
            <w:shd w:val="clear" w:color="auto" w:fill="FFFFFF" w:themeFill="background1"/>
          </w:tcPr>
          <w:p w14:paraId="1B598248" w14:textId="1AEFFE35" w:rsidR="00DD4339" w:rsidRPr="00166D67" w:rsidRDefault="00DD4339" w:rsidP="0059185F">
            <w:pPr>
              <w:jc w:val="left"/>
              <w:rPr>
                <w:sz w:val="17"/>
                <w:szCs w:val="17"/>
              </w:rPr>
            </w:pPr>
            <w:r w:rsidRPr="00166D67">
              <w:rPr>
                <w:sz w:val="17"/>
                <w:szCs w:val="17"/>
              </w:rPr>
              <w:t>The CBI published its first Financial Stability Review of 2020 in June. The review found that the macro-financial outlook has deteriorated significantly as a result of the COVID-19 pandemic, and is intimately linked to it. Fiscal, monetary, micro and macro prudential actions are working to mitigate amplification of the shock, and enable the financial system to support households and businesses. Both groups have benefitted from the payment breaks afforded to borrowers, and businesses will require access to liquidity and solvency supports to prevent permanent economic damage in the future. These conditions put pressure on banks' financial positions, but good p</w:t>
            </w:r>
            <w:r w:rsidR="0079683F" w:rsidRPr="00166D67">
              <w:rPr>
                <w:sz w:val="17"/>
                <w:szCs w:val="17"/>
              </w:rPr>
              <w:t>ol</w:t>
            </w:r>
            <w:r w:rsidRPr="00166D67">
              <w:rPr>
                <w:sz w:val="17"/>
                <w:szCs w:val="17"/>
              </w:rPr>
              <w:t>icy and action means they are better placed to absorb the shock.</w:t>
            </w:r>
          </w:p>
        </w:tc>
      </w:tr>
      <w:tr w:rsidR="00DD4339" w:rsidRPr="00166D67" w14:paraId="7E8E05BF" w14:textId="77777777" w:rsidTr="001701F9">
        <w:trPr>
          <w:cantSplit/>
        </w:trPr>
        <w:tc>
          <w:tcPr>
            <w:tcW w:w="1097" w:type="dxa"/>
            <w:shd w:val="clear" w:color="auto" w:fill="FFFFFF" w:themeFill="background1"/>
          </w:tcPr>
          <w:p w14:paraId="0CF474EF" w14:textId="3211FF72" w:rsidR="00DD4339" w:rsidRPr="007F1827" w:rsidRDefault="00DD4339" w:rsidP="0059185F">
            <w:pPr>
              <w:jc w:val="left"/>
              <w:rPr>
                <w:b/>
                <w:sz w:val="17"/>
                <w:szCs w:val="17"/>
              </w:rPr>
            </w:pPr>
            <w:r w:rsidRPr="007F1827">
              <w:rPr>
                <w:b/>
                <w:sz w:val="17"/>
                <w:szCs w:val="17"/>
              </w:rPr>
              <w:t>17 June 2020</w:t>
            </w:r>
          </w:p>
        </w:tc>
        <w:tc>
          <w:tcPr>
            <w:tcW w:w="1880" w:type="dxa"/>
            <w:shd w:val="clear" w:color="auto" w:fill="FFFFFF" w:themeFill="background1"/>
          </w:tcPr>
          <w:p w14:paraId="19369A4B" w14:textId="2ACC7167" w:rsidR="00DD4339" w:rsidRPr="00166D67" w:rsidRDefault="00A324C3" w:rsidP="0059185F">
            <w:pPr>
              <w:jc w:val="left"/>
              <w:rPr>
                <w:sz w:val="17"/>
                <w:szCs w:val="17"/>
              </w:rPr>
            </w:pPr>
            <w:hyperlink r:id="rId49" w:history="1">
              <w:r w:rsidR="00DD4339" w:rsidRPr="00166D67">
                <w:rPr>
                  <w:rStyle w:val="Hyperlink"/>
                  <w:sz w:val="17"/>
                  <w:szCs w:val="17"/>
                </w:rPr>
                <w:t xml:space="preserve">Risks, Resilience and Policy Responses to COVID-19 - Deputy Governor Sharon </w:t>
              </w:r>
              <w:proofErr w:type="spellStart"/>
              <w:r w:rsidR="00DD4339" w:rsidRPr="00166D67">
                <w:rPr>
                  <w:rStyle w:val="Hyperlink"/>
                  <w:sz w:val="17"/>
                  <w:szCs w:val="17"/>
                </w:rPr>
                <w:t>Donnery</w:t>
              </w:r>
              <w:proofErr w:type="spellEnd"/>
            </w:hyperlink>
          </w:p>
        </w:tc>
        <w:tc>
          <w:tcPr>
            <w:tcW w:w="1819" w:type="dxa"/>
            <w:shd w:val="clear" w:color="auto" w:fill="FFFFFF" w:themeFill="background1"/>
          </w:tcPr>
          <w:p w14:paraId="5EC9E754" w14:textId="77777777" w:rsidR="00DD4339" w:rsidRPr="00166D67" w:rsidRDefault="00DD4339" w:rsidP="0059185F">
            <w:pPr>
              <w:jc w:val="left"/>
              <w:rPr>
                <w:color w:val="FF0000"/>
                <w:sz w:val="17"/>
                <w:szCs w:val="17"/>
              </w:rPr>
            </w:pPr>
          </w:p>
        </w:tc>
        <w:tc>
          <w:tcPr>
            <w:tcW w:w="2155" w:type="dxa"/>
            <w:shd w:val="clear" w:color="auto" w:fill="FFFFFF" w:themeFill="background1"/>
          </w:tcPr>
          <w:p w14:paraId="02BC6CEE" w14:textId="7622AE38" w:rsidR="00DD4339" w:rsidRPr="00166D67" w:rsidRDefault="009A047A" w:rsidP="0059185F">
            <w:pPr>
              <w:jc w:val="left"/>
              <w:rPr>
                <w:sz w:val="17"/>
                <w:szCs w:val="17"/>
              </w:rPr>
            </w:pPr>
            <w:r w:rsidRPr="00166D67">
              <w:rPr>
                <w:sz w:val="17"/>
                <w:szCs w:val="17"/>
              </w:rPr>
              <w:t>All Regulated Financial Services Providers</w:t>
            </w:r>
          </w:p>
        </w:tc>
        <w:tc>
          <w:tcPr>
            <w:tcW w:w="5523" w:type="dxa"/>
            <w:shd w:val="clear" w:color="auto" w:fill="FFFFFF" w:themeFill="background1"/>
          </w:tcPr>
          <w:p w14:paraId="346E4488" w14:textId="77777777" w:rsidR="00DD4339" w:rsidRPr="00166D67" w:rsidRDefault="0080416F" w:rsidP="0059185F">
            <w:pPr>
              <w:jc w:val="left"/>
              <w:rPr>
                <w:sz w:val="17"/>
                <w:szCs w:val="17"/>
              </w:rPr>
            </w:pPr>
            <w:r w:rsidRPr="00166D67">
              <w:rPr>
                <w:sz w:val="17"/>
                <w:szCs w:val="17"/>
              </w:rPr>
              <w:t xml:space="preserve">Deputy Governor Sharon </w:t>
            </w:r>
            <w:proofErr w:type="spellStart"/>
            <w:r w:rsidRPr="00166D67">
              <w:rPr>
                <w:sz w:val="17"/>
                <w:szCs w:val="17"/>
              </w:rPr>
              <w:t>Donnery</w:t>
            </w:r>
            <w:proofErr w:type="spellEnd"/>
            <w:r w:rsidRPr="00166D67">
              <w:rPr>
                <w:sz w:val="17"/>
                <w:szCs w:val="17"/>
              </w:rPr>
              <w:t xml:space="preserve"> addressed the Institute of International and European Affairs on 17 June 2020. She spoke about the macro financial environment in Ireland amid COVID-19, risks to Irish financial stability, the economy's increased resilience and ability to withstand shocks and the CBI's and greater European policy responses to COVID-19. </w:t>
            </w:r>
          </w:p>
          <w:p w14:paraId="11AB955F" w14:textId="0AD13E03" w:rsidR="0080416F" w:rsidRPr="00166D67" w:rsidRDefault="0080416F" w:rsidP="0059185F">
            <w:pPr>
              <w:jc w:val="left"/>
              <w:rPr>
                <w:sz w:val="17"/>
                <w:szCs w:val="17"/>
              </w:rPr>
            </w:pPr>
            <w:r w:rsidRPr="00166D67">
              <w:rPr>
                <w:sz w:val="17"/>
                <w:szCs w:val="17"/>
              </w:rPr>
              <w:t xml:space="preserve">Noting the risks to financial stability because of greater defaults, and a decline in appetite for </w:t>
            </w:r>
            <w:proofErr w:type="spellStart"/>
            <w:r w:rsidRPr="00166D67">
              <w:rPr>
                <w:sz w:val="17"/>
                <w:szCs w:val="17"/>
              </w:rPr>
              <w:t>risky</w:t>
            </w:r>
            <w:proofErr w:type="spellEnd"/>
            <w:r w:rsidRPr="00166D67">
              <w:rPr>
                <w:sz w:val="17"/>
                <w:szCs w:val="17"/>
              </w:rPr>
              <w:t xml:space="preserve"> assets, the Director General stated that the CBI is working to ensure the financial system can absorb the shock of COVID-19, and not amplify it. The firm footing of the financial system compared to a decade ago puts Ireland in a good place to weather the storm.</w:t>
            </w:r>
          </w:p>
        </w:tc>
      </w:tr>
      <w:tr w:rsidR="0080416F" w:rsidRPr="00166D67" w14:paraId="55C74C23" w14:textId="77777777" w:rsidTr="001701F9">
        <w:trPr>
          <w:cantSplit/>
        </w:trPr>
        <w:tc>
          <w:tcPr>
            <w:tcW w:w="1097" w:type="dxa"/>
            <w:shd w:val="clear" w:color="auto" w:fill="FFFFFF" w:themeFill="background1"/>
          </w:tcPr>
          <w:p w14:paraId="7B9883E4" w14:textId="48870B35" w:rsidR="0080416F" w:rsidRPr="007F1827" w:rsidRDefault="0080416F" w:rsidP="0059185F">
            <w:pPr>
              <w:jc w:val="left"/>
              <w:rPr>
                <w:b/>
                <w:sz w:val="17"/>
                <w:szCs w:val="17"/>
              </w:rPr>
            </w:pPr>
            <w:r w:rsidRPr="007F1827">
              <w:rPr>
                <w:b/>
                <w:sz w:val="17"/>
                <w:szCs w:val="17"/>
              </w:rPr>
              <w:t>17 June 2020</w:t>
            </w:r>
          </w:p>
        </w:tc>
        <w:tc>
          <w:tcPr>
            <w:tcW w:w="1880" w:type="dxa"/>
            <w:shd w:val="clear" w:color="auto" w:fill="FFFFFF" w:themeFill="background1"/>
          </w:tcPr>
          <w:p w14:paraId="2508CBEC" w14:textId="726B3D0D" w:rsidR="0080416F" w:rsidRPr="00166D67" w:rsidRDefault="00A324C3" w:rsidP="0059185F">
            <w:pPr>
              <w:jc w:val="left"/>
              <w:rPr>
                <w:sz w:val="17"/>
                <w:szCs w:val="17"/>
              </w:rPr>
            </w:pPr>
            <w:hyperlink r:id="rId50" w:history="1">
              <w:r w:rsidR="0080416F" w:rsidRPr="00166D67">
                <w:rPr>
                  <w:rStyle w:val="Hyperlink"/>
                  <w:sz w:val="17"/>
                  <w:szCs w:val="17"/>
                </w:rPr>
                <w:t xml:space="preserve">Governor's Blog: </w:t>
              </w:r>
              <w:r w:rsidR="007312F3" w:rsidRPr="00166D67">
                <w:rPr>
                  <w:rStyle w:val="Hyperlink"/>
                  <w:sz w:val="17"/>
                  <w:szCs w:val="17"/>
                </w:rPr>
                <w:t>COVID-19: The Impact on Firms and Households</w:t>
              </w:r>
            </w:hyperlink>
          </w:p>
        </w:tc>
        <w:tc>
          <w:tcPr>
            <w:tcW w:w="1819" w:type="dxa"/>
            <w:shd w:val="clear" w:color="auto" w:fill="FFFFFF" w:themeFill="background1"/>
          </w:tcPr>
          <w:p w14:paraId="5D83ED95" w14:textId="77777777" w:rsidR="0080416F" w:rsidRPr="00166D67" w:rsidRDefault="0080416F" w:rsidP="0059185F">
            <w:pPr>
              <w:jc w:val="left"/>
              <w:rPr>
                <w:color w:val="FF0000"/>
                <w:sz w:val="17"/>
                <w:szCs w:val="17"/>
              </w:rPr>
            </w:pPr>
          </w:p>
        </w:tc>
        <w:tc>
          <w:tcPr>
            <w:tcW w:w="2155" w:type="dxa"/>
            <w:shd w:val="clear" w:color="auto" w:fill="FFFFFF" w:themeFill="background1"/>
          </w:tcPr>
          <w:p w14:paraId="293E4698" w14:textId="602517F5" w:rsidR="0080416F" w:rsidRPr="00166D67" w:rsidRDefault="009A047A" w:rsidP="0059185F">
            <w:pPr>
              <w:jc w:val="left"/>
              <w:rPr>
                <w:sz w:val="17"/>
                <w:szCs w:val="17"/>
              </w:rPr>
            </w:pPr>
            <w:r w:rsidRPr="00166D67">
              <w:rPr>
                <w:sz w:val="17"/>
                <w:szCs w:val="17"/>
              </w:rPr>
              <w:t>All Regulated Financial Services Providers and Consumers</w:t>
            </w:r>
          </w:p>
        </w:tc>
        <w:tc>
          <w:tcPr>
            <w:tcW w:w="5523" w:type="dxa"/>
            <w:shd w:val="clear" w:color="auto" w:fill="FFFFFF" w:themeFill="background1"/>
          </w:tcPr>
          <w:p w14:paraId="5919844D" w14:textId="77777777" w:rsidR="0080416F" w:rsidRPr="00166D67" w:rsidRDefault="007312F3" w:rsidP="0059185F">
            <w:pPr>
              <w:jc w:val="left"/>
              <w:rPr>
                <w:sz w:val="17"/>
                <w:szCs w:val="17"/>
              </w:rPr>
            </w:pPr>
            <w:r w:rsidRPr="00166D67">
              <w:rPr>
                <w:sz w:val="17"/>
                <w:szCs w:val="17"/>
              </w:rPr>
              <w:t xml:space="preserve">In this post, Governor </w:t>
            </w:r>
            <w:proofErr w:type="spellStart"/>
            <w:r w:rsidRPr="00166D67">
              <w:rPr>
                <w:sz w:val="17"/>
                <w:szCs w:val="17"/>
              </w:rPr>
              <w:t>Makhlouf</w:t>
            </w:r>
            <w:proofErr w:type="spellEnd"/>
            <w:r w:rsidRPr="00166D67">
              <w:rPr>
                <w:sz w:val="17"/>
                <w:szCs w:val="17"/>
              </w:rPr>
              <w:t xml:space="preserve"> discussed the impact of COVID-19 on firms and households. He noted three key messages: </w:t>
            </w:r>
          </w:p>
          <w:p w14:paraId="292E9A43" w14:textId="24A1BE49" w:rsidR="007312F3" w:rsidRPr="00166D67" w:rsidRDefault="002236EC" w:rsidP="0059185F">
            <w:pPr>
              <w:pStyle w:val="ListParagraph"/>
              <w:numPr>
                <w:ilvl w:val="0"/>
                <w:numId w:val="13"/>
              </w:numPr>
              <w:jc w:val="left"/>
              <w:rPr>
                <w:sz w:val="17"/>
                <w:szCs w:val="17"/>
              </w:rPr>
            </w:pPr>
            <w:r w:rsidRPr="00166D67">
              <w:rPr>
                <w:sz w:val="17"/>
                <w:szCs w:val="17"/>
              </w:rPr>
              <w:t>T</w:t>
            </w:r>
            <w:r w:rsidR="007312F3" w:rsidRPr="00166D67">
              <w:rPr>
                <w:sz w:val="17"/>
                <w:szCs w:val="17"/>
              </w:rPr>
              <w:t>he speed, size and pervasive nature of the economic shock have presented both immediate challenges and tighter financing conditions, as well as a sharp deterioration in the macro-financial outlo</w:t>
            </w:r>
            <w:r w:rsidRPr="00166D67">
              <w:rPr>
                <w:sz w:val="17"/>
                <w:szCs w:val="17"/>
              </w:rPr>
              <w:t>ok</w:t>
            </w:r>
            <w:r w:rsidR="007312F3" w:rsidRPr="00166D67">
              <w:rPr>
                <w:sz w:val="17"/>
                <w:szCs w:val="17"/>
              </w:rPr>
              <w:t>.</w:t>
            </w:r>
          </w:p>
          <w:p w14:paraId="7BE0D221" w14:textId="77777777" w:rsidR="007312F3" w:rsidRPr="00166D67" w:rsidRDefault="007312F3" w:rsidP="0059185F">
            <w:pPr>
              <w:pStyle w:val="ListParagraph"/>
              <w:jc w:val="left"/>
              <w:rPr>
                <w:sz w:val="17"/>
                <w:szCs w:val="17"/>
              </w:rPr>
            </w:pPr>
          </w:p>
          <w:p w14:paraId="7AEA3B5D" w14:textId="49034C4F" w:rsidR="007312F3" w:rsidRPr="00166D67" w:rsidRDefault="002236EC" w:rsidP="0059185F">
            <w:pPr>
              <w:pStyle w:val="ListParagraph"/>
              <w:numPr>
                <w:ilvl w:val="0"/>
                <w:numId w:val="13"/>
              </w:numPr>
              <w:jc w:val="left"/>
              <w:rPr>
                <w:sz w:val="17"/>
                <w:szCs w:val="17"/>
              </w:rPr>
            </w:pPr>
            <w:r w:rsidRPr="00166D67">
              <w:rPr>
                <w:sz w:val="17"/>
                <w:szCs w:val="17"/>
              </w:rPr>
              <w:t>H</w:t>
            </w:r>
            <w:r w:rsidR="007312F3" w:rsidRPr="00166D67">
              <w:rPr>
                <w:sz w:val="17"/>
                <w:szCs w:val="17"/>
              </w:rPr>
              <w:t>ouseholds, businesses and the financial system have entered into the current phase in a more resilient position compared to the onset of the financial crisis a decade ago</w:t>
            </w:r>
            <w:r w:rsidRPr="00166D67">
              <w:rPr>
                <w:sz w:val="17"/>
                <w:szCs w:val="17"/>
              </w:rPr>
              <w:t>, but the resilience has a limit</w:t>
            </w:r>
            <w:r w:rsidR="007312F3" w:rsidRPr="00166D67">
              <w:rPr>
                <w:sz w:val="17"/>
                <w:szCs w:val="17"/>
              </w:rPr>
              <w:t>.</w:t>
            </w:r>
          </w:p>
          <w:p w14:paraId="06F456E6" w14:textId="77777777" w:rsidR="007312F3" w:rsidRPr="00166D67" w:rsidRDefault="007312F3" w:rsidP="0059185F">
            <w:pPr>
              <w:pStyle w:val="ListParagraph"/>
              <w:jc w:val="left"/>
              <w:rPr>
                <w:sz w:val="17"/>
                <w:szCs w:val="17"/>
              </w:rPr>
            </w:pPr>
          </w:p>
          <w:p w14:paraId="55270A69" w14:textId="05B295EC" w:rsidR="007312F3" w:rsidRPr="00166D67" w:rsidRDefault="002236EC" w:rsidP="0059185F">
            <w:pPr>
              <w:pStyle w:val="ListParagraph"/>
              <w:numPr>
                <w:ilvl w:val="0"/>
                <w:numId w:val="13"/>
              </w:numPr>
              <w:jc w:val="left"/>
              <w:rPr>
                <w:sz w:val="17"/>
                <w:szCs w:val="17"/>
              </w:rPr>
            </w:pPr>
            <w:r w:rsidRPr="00166D67">
              <w:rPr>
                <w:sz w:val="17"/>
                <w:szCs w:val="17"/>
              </w:rPr>
              <w:t>T</w:t>
            </w:r>
            <w:r w:rsidR="007312F3" w:rsidRPr="00166D67">
              <w:rPr>
                <w:sz w:val="17"/>
                <w:szCs w:val="17"/>
              </w:rPr>
              <w:t xml:space="preserve">he policy actions taken in the area of fiscal and monetary policy – as well as </w:t>
            </w:r>
            <w:proofErr w:type="spellStart"/>
            <w:r w:rsidR="007312F3" w:rsidRPr="00166D67">
              <w:rPr>
                <w:sz w:val="17"/>
                <w:szCs w:val="17"/>
              </w:rPr>
              <w:t>macroprudential</w:t>
            </w:r>
            <w:proofErr w:type="spellEnd"/>
            <w:r w:rsidR="007312F3" w:rsidRPr="00166D67">
              <w:rPr>
                <w:sz w:val="17"/>
                <w:szCs w:val="17"/>
              </w:rPr>
              <w:t xml:space="preserve"> and supervisory policy – have been necessary to mitigate the amplif</w:t>
            </w:r>
            <w:r w:rsidRPr="00166D67">
              <w:rPr>
                <w:sz w:val="17"/>
                <w:szCs w:val="17"/>
              </w:rPr>
              <w:t>ication of the immediate shock.</w:t>
            </w:r>
          </w:p>
        </w:tc>
      </w:tr>
      <w:tr w:rsidR="00FD017C" w:rsidRPr="00166D67" w14:paraId="4630FFAF" w14:textId="77777777" w:rsidTr="001701F9">
        <w:trPr>
          <w:cantSplit/>
        </w:trPr>
        <w:tc>
          <w:tcPr>
            <w:tcW w:w="1097" w:type="dxa"/>
            <w:shd w:val="clear" w:color="auto" w:fill="FFFFFF" w:themeFill="background1"/>
          </w:tcPr>
          <w:p w14:paraId="0004E77E" w14:textId="4F80CC40" w:rsidR="00FD017C" w:rsidRPr="007F1827" w:rsidRDefault="00FD017C" w:rsidP="0059185F">
            <w:pPr>
              <w:jc w:val="left"/>
              <w:rPr>
                <w:b/>
                <w:sz w:val="17"/>
                <w:szCs w:val="17"/>
              </w:rPr>
            </w:pPr>
            <w:r w:rsidRPr="007F1827">
              <w:rPr>
                <w:b/>
                <w:sz w:val="17"/>
                <w:szCs w:val="17"/>
              </w:rPr>
              <w:t>19 June 2020</w:t>
            </w:r>
          </w:p>
        </w:tc>
        <w:tc>
          <w:tcPr>
            <w:tcW w:w="1880" w:type="dxa"/>
            <w:shd w:val="clear" w:color="auto" w:fill="FFFFFF" w:themeFill="background1"/>
          </w:tcPr>
          <w:p w14:paraId="57318245" w14:textId="3CFA5F03" w:rsidR="00FD017C" w:rsidRPr="00166D67" w:rsidRDefault="00FD017C" w:rsidP="0059185F">
            <w:pPr>
              <w:jc w:val="left"/>
              <w:rPr>
                <w:sz w:val="17"/>
                <w:szCs w:val="17"/>
              </w:rPr>
            </w:pPr>
            <w:r w:rsidRPr="00166D67">
              <w:rPr>
                <w:sz w:val="17"/>
                <w:szCs w:val="17"/>
              </w:rPr>
              <w:t xml:space="preserve">CBI COVID-19 Hub: </w:t>
            </w:r>
            <w:hyperlink r:id="rId51" w:history="1">
              <w:r w:rsidRPr="00166D67">
                <w:rPr>
                  <w:rStyle w:val="Hyperlink"/>
                  <w:sz w:val="17"/>
                  <w:szCs w:val="17"/>
                </w:rPr>
                <w:t>COVID-19 - Consumer FAQ</w:t>
              </w:r>
            </w:hyperlink>
          </w:p>
        </w:tc>
        <w:tc>
          <w:tcPr>
            <w:tcW w:w="1819" w:type="dxa"/>
            <w:shd w:val="clear" w:color="auto" w:fill="FFFFFF" w:themeFill="background1"/>
          </w:tcPr>
          <w:p w14:paraId="215F856F" w14:textId="77777777" w:rsidR="00FD017C" w:rsidRPr="00166D67" w:rsidRDefault="00FD017C" w:rsidP="0059185F">
            <w:pPr>
              <w:jc w:val="left"/>
              <w:rPr>
                <w:color w:val="FF0000"/>
                <w:sz w:val="17"/>
                <w:szCs w:val="17"/>
              </w:rPr>
            </w:pPr>
          </w:p>
        </w:tc>
        <w:tc>
          <w:tcPr>
            <w:tcW w:w="2155" w:type="dxa"/>
            <w:shd w:val="clear" w:color="auto" w:fill="FFFFFF" w:themeFill="background1"/>
          </w:tcPr>
          <w:p w14:paraId="688EB808" w14:textId="1E52024C" w:rsidR="00FD017C" w:rsidRPr="00166D67" w:rsidRDefault="00FD017C" w:rsidP="0059185F">
            <w:pPr>
              <w:jc w:val="left"/>
              <w:rPr>
                <w:sz w:val="17"/>
                <w:szCs w:val="17"/>
              </w:rPr>
            </w:pPr>
            <w:r w:rsidRPr="00166D67">
              <w:rPr>
                <w:sz w:val="17"/>
                <w:szCs w:val="17"/>
              </w:rPr>
              <w:t>All Regulated Financial Services Providers and Consumers</w:t>
            </w:r>
          </w:p>
        </w:tc>
        <w:tc>
          <w:tcPr>
            <w:tcW w:w="5523" w:type="dxa"/>
            <w:shd w:val="clear" w:color="auto" w:fill="FFFFFF" w:themeFill="background1"/>
          </w:tcPr>
          <w:p w14:paraId="4636FA66" w14:textId="7E563E64" w:rsidR="00FD017C" w:rsidRPr="00166D67" w:rsidRDefault="00FD017C" w:rsidP="0059185F">
            <w:pPr>
              <w:jc w:val="left"/>
              <w:rPr>
                <w:sz w:val="17"/>
                <w:szCs w:val="17"/>
              </w:rPr>
            </w:pPr>
            <w:r w:rsidRPr="00166D67">
              <w:rPr>
                <w:sz w:val="17"/>
                <w:szCs w:val="17"/>
              </w:rPr>
              <w:t>On 19 June 2020, the CBI updated the Consumer FAQs section on its COVID-19 hub. The section provides up to date advice on consumer issues related to the pandemic, such as mortgage payment breaks, scams and fraud, insurance and general banking and investment issues.</w:t>
            </w:r>
          </w:p>
        </w:tc>
      </w:tr>
      <w:tr w:rsidR="00FD017C" w:rsidRPr="00166D67" w14:paraId="467509C9" w14:textId="77777777" w:rsidTr="001701F9">
        <w:trPr>
          <w:cantSplit/>
        </w:trPr>
        <w:tc>
          <w:tcPr>
            <w:tcW w:w="1097" w:type="dxa"/>
            <w:shd w:val="clear" w:color="auto" w:fill="FFFFFF" w:themeFill="background1"/>
          </w:tcPr>
          <w:p w14:paraId="76C134EF" w14:textId="14A3EA75" w:rsidR="00FD017C" w:rsidRPr="007F1827" w:rsidRDefault="00FD017C" w:rsidP="0059185F">
            <w:pPr>
              <w:jc w:val="left"/>
              <w:rPr>
                <w:b/>
                <w:sz w:val="17"/>
                <w:szCs w:val="17"/>
              </w:rPr>
            </w:pPr>
            <w:r w:rsidRPr="007F1827">
              <w:rPr>
                <w:b/>
                <w:sz w:val="17"/>
                <w:szCs w:val="17"/>
              </w:rPr>
              <w:t>22 June 2020</w:t>
            </w:r>
          </w:p>
        </w:tc>
        <w:tc>
          <w:tcPr>
            <w:tcW w:w="1880" w:type="dxa"/>
            <w:shd w:val="clear" w:color="auto" w:fill="FFFFFF" w:themeFill="background1"/>
          </w:tcPr>
          <w:p w14:paraId="6D189AB9" w14:textId="58288087" w:rsidR="00FD017C" w:rsidRPr="00166D67" w:rsidRDefault="00A324C3" w:rsidP="0059185F">
            <w:pPr>
              <w:jc w:val="left"/>
              <w:rPr>
                <w:sz w:val="17"/>
                <w:szCs w:val="17"/>
              </w:rPr>
            </w:pPr>
            <w:hyperlink r:id="rId52" w:history="1">
              <w:r w:rsidR="00FD017C" w:rsidRPr="00166D67">
                <w:rPr>
                  <w:rStyle w:val="Hyperlink"/>
                  <w:sz w:val="17"/>
                  <w:szCs w:val="17"/>
                </w:rPr>
                <w:t>CBI COVID-19 HUB</w:t>
              </w:r>
            </w:hyperlink>
          </w:p>
        </w:tc>
        <w:tc>
          <w:tcPr>
            <w:tcW w:w="1819" w:type="dxa"/>
            <w:shd w:val="clear" w:color="auto" w:fill="FFFFFF" w:themeFill="background1"/>
          </w:tcPr>
          <w:p w14:paraId="63F4AC9B" w14:textId="77777777" w:rsidR="00FD017C" w:rsidRPr="00166D67" w:rsidRDefault="00FD017C" w:rsidP="0059185F">
            <w:pPr>
              <w:jc w:val="left"/>
              <w:rPr>
                <w:color w:val="FF0000"/>
                <w:sz w:val="17"/>
                <w:szCs w:val="17"/>
              </w:rPr>
            </w:pPr>
          </w:p>
        </w:tc>
        <w:tc>
          <w:tcPr>
            <w:tcW w:w="2155" w:type="dxa"/>
            <w:shd w:val="clear" w:color="auto" w:fill="FFFFFF" w:themeFill="background1"/>
          </w:tcPr>
          <w:p w14:paraId="3C8EAAD3" w14:textId="7AEEDD97" w:rsidR="00FD017C" w:rsidRPr="00166D67" w:rsidRDefault="00A820F1" w:rsidP="0059185F">
            <w:pPr>
              <w:jc w:val="left"/>
              <w:rPr>
                <w:sz w:val="17"/>
                <w:szCs w:val="17"/>
              </w:rPr>
            </w:pPr>
            <w:r w:rsidRPr="00166D67">
              <w:rPr>
                <w:sz w:val="17"/>
                <w:szCs w:val="17"/>
              </w:rPr>
              <w:t>All Regulated Financial Services Providers and Consumers</w:t>
            </w:r>
          </w:p>
        </w:tc>
        <w:tc>
          <w:tcPr>
            <w:tcW w:w="5523" w:type="dxa"/>
            <w:shd w:val="clear" w:color="auto" w:fill="FFFFFF" w:themeFill="background1"/>
          </w:tcPr>
          <w:p w14:paraId="483C2570" w14:textId="792D160F" w:rsidR="00FD017C" w:rsidRPr="00166D67" w:rsidRDefault="00FD017C" w:rsidP="0059185F">
            <w:pPr>
              <w:jc w:val="left"/>
              <w:rPr>
                <w:sz w:val="17"/>
                <w:szCs w:val="17"/>
              </w:rPr>
            </w:pPr>
            <w:r w:rsidRPr="00166D67">
              <w:rPr>
                <w:sz w:val="17"/>
                <w:szCs w:val="17"/>
              </w:rPr>
              <w:t xml:space="preserve">The CBI updated its COVID-19 hub's general FAQ section, which provides insight into the CBI's response to COVID-19 and what it is doing to provide assistance to firms and consumers during the crisis. </w:t>
            </w:r>
          </w:p>
        </w:tc>
      </w:tr>
      <w:tr w:rsidR="00D87928" w:rsidRPr="00166D67" w14:paraId="224FFBAB" w14:textId="77777777" w:rsidTr="001701F9">
        <w:trPr>
          <w:cantSplit/>
        </w:trPr>
        <w:tc>
          <w:tcPr>
            <w:tcW w:w="1097" w:type="dxa"/>
            <w:shd w:val="clear" w:color="auto" w:fill="FFFFFF" w:themeFill="background1"/>
          </w:tcPr>
          <w:p w14:paraId="515A05FF" w14:textId="302AE943" w:rsidR="00D87928" w:rsidRPr="007F1827" w:rsidRDefault="00D87928" w:rsidP="0059185F">
            <w:pPr>
              <w:jc w:val="left"/>
              <w:rPr>
                <w:b/>
                <w:sz w:val="17"/>
                <w:szCs w:val="17"/>
              </w:rPr>
            </w:pPr>
            <w:r w:rsidRPr="007F1827">
              <w:rPr>
                <w:b/>
                <w:sz w:val="17"/>
                <w:szCs w:val="17"/>
              </w:rPr>
              <w:t>24 June 2020</w:t>
            </w:r>
          </w:p>
        </w:tc>
        <w:tc>
          <w:tcPr>
            <w:tcW w:w="1880" w:type="dxa"/>
            <w:shd w:val="clear" w:color="auto" w:fill="FFFFFF" w:themeFill="background1"/>
          </w:tcPr>
          <w:p w14:paraId="05A4E7D9" w14:textId="21681AFB" w:rsidR="00D87928" w:rsidRPr="00166D67" w:rsidRDefault="00A324C3" w:rsidP="0059185F">
            <w:pPr>
              <w:jc w:val="left"/>
              <w:rPr>
                <w:sz w:val="17"/>
                <w:szCs w:val="17"/>
              </w:rPr>
            </w:pPr>
            <w:hyperlink r:id="rId53" w:history="1">
              <w:r w:rsidR="000326CA" w:rsidRPr="00166D67">
                <w:rPr>
                  <w:rStyle w:val="Hyperlink"/>
                  <w:sz w:val="17"/>
                  <w:szCs w:val="17"/>
                </w:rPr>
                <w:t>Governor's Blog: Protecting consumers through COVID-19</w:t>
              </w:r>
            </w:hyperlink>
          </w:p>
        </w:tc>
        <w:tc>
          <w:tcPr>
            <w:tcW w:w="1819" w:type="dxa"/>
            <w:shd w:val="clear" w:color="auto" w:fill="FFFFFF" w:themeFill="background1"/>
          </w:tcPr>
          <w:p w14:paraId="225F2C00" w14:textId="77777777" w:rsidR="00D87928" w:rsidRPr="00166D67" w:rsidRDefault="00D87928" w:rsidP="0059185F">
            <w:pPr>
              <w:jc w:val="left"/>
              <w:rPr>
                <w:color w:val="FF0000"/>
                <w:sz w:val="17"/>
                <w:szCs w:val="17"/>
              </w:rPr>
            </w:pPr>
          </w:p>
        </w:tc>
        <w:tc>
          <w:tcPr>
            <w:tcW w:w="2155" w:type="dxa"/>
            <w:shd w:val="clear" w:color="auto" w:fill="FFFFFF" w:themeFill="background1"/>
          </w:tcPr>
          <w:p w14:paraId="3827D05F" w14:textId="2174EB47" w:rsidR="00D87928" w:rsidRPr="00166D67" w:rsidRDefault="00462B7D" w:rsidP="0059185F">
            <w:pPr>
              <w:jc w:val="left"/>
              <w:rPr>
                <w:sz w:val="17"/>
                <w:szCs w:val="17"/>
              </w:rPr>
            </w:pPr>
            <w:r w:rsidRPr="00166D67">
              <w:rPr>
                <w:sz w:val="17"/>
                <w:szCs w:val="17"/>
              </w:rPr>
              <w:t>Consumers and All Regulated Financial Institutions</w:t>
            </w:r>
          </w:p>
        </w:tc>
        <w:tc>
          <w:tcPr>
            <w:tcW w:w="5523" w:type="dxa"/>
            <w:shd w:val="clear" w:color="auto" w:fill="FFFFFF" w:themeFill="background1"/>
          </w:tcPr>
          <w:p w14:paraId="6A719437" w14:textId="662AACB5" w:rsidR="00D87928" w:rsidRPr="00166D67" w:rsidRDefault="00DA6C6B" w:rsidP="0059185F">
            <w:pPr>
              <w:jc w:val="left"/>
              <w:rPr>
                <w:sz w:val="17"/>
                <w:szCs w:val="17"/>
              </w:rPr>
            </w:pPr>
            <w:r w:rsidRPr="00166D67">
              <w:rPr>
                <w:sz w:val="17"/>
                <w:szCs w:val="17"/>
              </w:rPr>
              <w:t xml:space="preserve">In this blog post, Governor </w:t>
            </w:r>
            <w:proofErr w:type="spellStart"/>
            <w:r w:rsidRPr="00166D67">
              <w:rPr>
                <w:sz w:val="17"/>
                <w:szCs w:val="17"/>
              </w:rPr>
              <w:t>Makhlouf</w:t>
            </w:r>
            <w:proofErr w:type="spellEnd"/>
            <w:r w:rsidRPr="00166D67">
              <w:rPr>
                <w:sz w:val="17"/>
                <w:szCs w:val="17"/>
              </w:rPr>
              <w:t xml:space="preserve"> reflected on his recent meetings with leaders from civil society. He pointed out how such meetings help shape the CBI's policy approach to issues of mutual interest. The primary focus of his discussions related to consumer protection, both during the COVID-19 pandemic and more generally. Governor </w:t>
            </w:r>
            <w:proofErr w:type="spellStart"/>
            <w:r w:rsidRPr="00166D67">
              <w:rPr>
                <w:sz w:val="17"/>
                <w:szCs w:val="17"/>
              </w:rPr>
              <w:t>Makhlouf</w:t>
            </w:r>
            <w:proofErr w:type="spellEnd"/>
            <w:r w:rsidRPr="00166D67">
              <w:rPr>
                <w:sz w:val="17"/>
                <w:szCs w:val="17"/>
              </w:rPr>
              <w:t xml:space="preserve"> discussed how the CBI's mandate for consumer protection is intertwined with all other aspects of its mandate. A stable financial system, stable prices, strong conduct of business rules and resilient financial institutions all ensure protection of consumers. </w:t>
            </w:r>
          </w:p>
        </w:tc>
      </w:tr>
      <w:tr w:rsidR="00D87928" w:rsidRPr="00166D67" w14:paraId="452D1A23" w14:textId="77777777" w:rsidTr="001701F9">
        <w:trPr>
          <w:cantSplit/>
        </w:trPr>
        <w:tc>
          <w:tcPr>
            <w:tcW w:w="1097" w:type="dxa"/>
            <w:shd w:val="clear" w:color="auto" w:fill="FFFFFF" w:themeFill="background1"/>
          </w:tcPr>
          <w:p w14:paraId="505FC1CD" w14:textId="563FB3BE" w:rsidR="00D87928" w:rsidRPr="007F1827" w:rsidRDefault="00510648" w:rsidP="0059185F">
            <w:pPr>
              <w:jc w:val="left"/>
              <w:rPr>
                <w:b/>
                <w:sz w:val="17"/>
                <w:szCs w:val="17"/>
              </w:rPr>
            </w:pPr>
            <w:r w:rsidRPr="007F1827">
              <w:rPr>
                <w:b/>
                <w:sz w:val="17"/>
                <w:szCs w:val="17"/>
              </w:rPr>
              <w:t>29 June 2020</w:t>
            </w:r>
          </w:p>
        </w:tc>
        <w:tc>
          <w:tcPr>
            <w:tcW w:w="1880" w:type="dxa"/>
            <w:shd w:val="clear" w:color="auto" w:fill="FFFFFF" w:themeFill="background1"/>
          </w:tcPr>
          <w:p w14:paraId="049AC6B1" w14:textId="69E88759" w:rsidR="00D87928" w:rsidRPr="00166D67" w:rsidRDefault="00A324C3" w:rsidP="0059185F">
            <w:pPr>
              <w:jc w:val="left"/>
              <w:rPr>
                <w:sz w:val="17"/>
                <w:szCs w:val="17"/>
              </w:rPr>
            </w:pPr>
            <w:hyperlink r:id="rId54" w:history="1">
              <w:r w:rsidR="00D87928" w:rsidRPr="00166D67">
                <w:rPr>
                  <w:rStyle w:val="Hyperlink"/>
                  <w:sz w:val="17"/>
                  <w:szCs w:val="17"/>
                </w:rPr>
                <w:t xml:space="preserve">Making the case for </w:t>
              </w:r>
              <w:proofErr w:type="spellStart"/>
              <w:r w:rsidR="00D87928" w:rsidRPr="00166D67">
                <w:rPr>
                  <w:rStyle w:val="Hyperlink"/>
                  <w:sz w:val="17"/>
                  <w:szCs w:val="17"/>
                </w:rPr>
                <w:t>macroprudential</w:t>
              </w:r>
              <w:proofErr w:type="spellEnd"/>
              <w:r w:rsidR="00D87928" w:rsidRPr="00166D67">
                <w:rPr>
                  <w:rStyle w:val="Hyperlink"/>
                  <w:sz w:val="17"/>
                  <w:szCs w:val="17"/>
                </w:rPr>
                <w:t xml:space="preserve"> tools for the market-based finance sector: lessons from COVID-19 - Governor Gabriel </w:t>
              </w:r>
              <w:proofErr w:type="spellStart"/>
              <w:r w:rsidR="00D87928" w:rsidRPr="00166D67">
                <w:rPr>
                  <w:rStyle w:val="Hyperlink"/>
                  <w:sz w:val="17"/>
                  <w:szCs w:val="17"/>
                </w:rPr>
                <w:t>Makhlouf</w:t>
              </w:r>
              <w:proofErr w:type="spellEnd"/>
            </w:hyperlink>
          </w:p>
        </w:tc>
        <w:tc>
          <w:tcPr>
            <w:tcW w:w="1819" w:type="dxa"/>
            <w:shd w:val="clear" w:color="auto" w:fill="FFFFFF" w:themeFill="background1"/>
          </w:tcPr>
          <w:p w14:paraId="40C53963" w14:textId="77777777" w:rsidR="00D87928" w:rsidRPr="00166D67" w:rsidRDefault="00D87928" w:rsidP="0059185F">
            <w:pPr>
              <w:jc w:val="left"/>
              <w:rPr>
                <w:color w:val="FF0000"/>
                <w:sz w:val="17"/>
                <w:szCs w:val="17"/>
              </w:rPr>
            </w:pPr>
          </w:p>
        </w:tc>
        <w:tc>
          <w:tcPr>
            <w:tcW w:w="2155" w:type="dxa"/>
            <w:shd w:val="clear" w:color="auto" w:fill="FFFFFF" w:themeFill="background1"/>
          </w:tcPr>
          <w:p w14:paraId="69375092" w14:textId="0B5F7BDF" w:rsidR="00D87928" w:rsidRPr="00166D67" w:rsidRDefault="0063201D" w:rsidP="0059185F">
            <w:pPr>
              <w:jc w:val="left"/>
              <w:rPr>
                <w:sz w:val="17"/>
                <w:szCs w:val="17"/>
              </w:rPr>
            </w:pPr>
            <w:r w:rsidRPr="00166D67">
              <w:rPr>
                <w:sz w:val="17"/>
                <w:szCs w:val="17"/>
              </w:rPr>
              <w:t>Consumers and All Regulated Financial Institutions</w:t>
            </w:r>
          </w:p>
        </w:tc>
        <w:tc>
          <w:tcPr>
            <w:tcW w:w="5523" w:type="dxa"/>
            <w:shd w:val="clear" w:color="auto" w:fill="FFFFFF" w:themeFill="background1"/>
          </w:tcPr>
          <w:p w14:paraId="0A1AE76E" w14:textId="5F23DC0B" w:rsidR="00D87928" w:rsidRPr="00166D67" w:rsidRDefault="00DA6C6B" w:rsidP="0059185F">
            <w:pPr>
              <w:jc w:val="left"/>
              <w:rPr>
                <w:sz w:val="17"/>
                <w:szCs w:val="17"/>
              </w:rPr>
            </w:pPr>
            <w:r w:rsidRPr="00166D67">
              <w:rPr>
                <w:sz w:val="17"/>
                <w:szCs w:val="17"/>
              </w:rPr>
              <w:t>In this speech,</w:t>
            </w:r>
            <w:r w:rsidR="00510648" w:rsidRPr="00166D67">
              <w:rPr>
                <w:sz w:val="17"/>
                <w:szCs w:val="17"/>
              </w:rPr>
              <w:t xml:space="preserve"> CBI Governor, Gabriel </w:t>
            </w:r>
            <w:proofErr w:type="spellStart"/>
            <w:r w:rsidR="00510648" w:rsidRPr="00166D67">
              <w:rPr>
                <w:sz w:val="17"/>
                <w:szCs w:val="17"/>
              </w:rPr>
              <w:t>Makhlouf</w:t>
            </w:r>
            <w:proofErr w:type="spellEnd"/>
            <w:r w:rsidR="00510648" w:rsidRPr="00166D67">
              <w:rPr>
                <w:sz w:val="17"/>
                <w:szCs w:val="17"/>
              </w:rPr>
              <w:t xml:space="preserve"> made remarks focused on the implications of the changing nature of the financial system, with a particular focus on the growth in market-based finance. He noted the growth in size of market based finance both in Ireland and globally since the 2008 financial crisis. This means disruptions to markets based finance are more likely to have a more material macro-financial impact. Following from this, the security of the markets based financial system is essential, as is the importance of its ability to absorb economic shocks. Governor </w:t>
            </w:r>
            <w:proofErr w:type="spellStart"/>
            <w:r w:rsidR="00510648" w:rsidRPr="00166D67">
              <w:rPr>
                <w:sz w:val="17"/>
                <w:szCs w:val="17"/>
              </w:rPr>
              <w:t>Makhlouf</w:t>
            </w:r>
            <w:proofErr w:type="spellEnd"/>
            <w:r w:rsidR="00510648" w:rsidRPr="00166D67">
              <w:rPr>
                <w:sz w:val="17"/>
                <w:szCs w:val="17"/>
              </w:rPr>
              <w:t xml:space="preserve"> concluded by asking the room to question whether a macro prudential framework for markets based finance would be good for the sector and greater financial system in light of the current turbulence associated with COVID-19.</w:t>
            </w:r>
          </w:p>
        </w:tc>
      </w:tr>
      <w:tr w:rsidR="0063201D" w:rsidRPr="00166D67" w14:paraId="0121A409" w14:textId="77777777" w:rsidTr="001701F9">
        <w:trPr>
          <w:cantSplit/>
        </w:trPr>
        <w:tc>
          <w:tcPr>
            <w:tcW w:w="1097" w:type="dxa"/>
            <w:shd w:val="clear" w:color="auto" w:fill="FFFFFF" w:themeFill="background1"/>
          </w:tcPr>
          <w:p w14:paraId="132FF717" w14:textId="517CEEB1" w:rsidR="0063201D" w:rsidRPr="007F1827" w:rsidRDefault="0063201D" w:rsidP="0059185F">
            <w:pPr>
              <w:jc w:val="left"/>
              <w:rPr>
                <w:b/>
                <w:sz w:val="17"/>
                <w:szCs w:val="17"/>
              </w:rPr>
            </w:pPr>
            <w:r w:rsidRPr="007F1827">
              <w:rPr>
                <w:b/>
                <w:sz w:val="17"/>
                <w:szCs w:val="17"/>
              </w:rPr>
              <w:t>1 July 2020</w:t>
            </w:r>
          </w:p>
        </w:tc>
        <w:tc>
          <w:tcPr>
            <w:tcW w:w="1880" w:type="dxa"/>
            <w:shd w:val="clear" w:color="auto" w:fill="FFFFFF" w:themeFill="background1"/>
          </w:tcPr>
          <w:p w14:paraId="3226E328" w14:textId="44E93E7A" w:rsidR="0063201D" w:rsidRPr="00166D67" w:rsidRDefault="00594CD6" w:rsidP="0059185F">
            <w:pPr>
              <w:jc w:val="left"/>
              <w:rPr>
                <w:sz w:val="17"/>
                <w:szCs w:val="17"/>
              </w:rPr>
            </w:pPr>
            <w:r w:rsidRPr="00166D67">
              <w:rPr>
                <w:sz w:val="17"/>
                <w:szCs w:val="17"/>
              </w:rPr>
              <w:t>Update to COVID-19</w:t>
            </w:r>
            <w:r w:rsidR="0063201D" w:rsidRPr="00166D67">
              <w:rPr>
                <w:sz w:val="17"/>
                <w:szCs w:val="17"/>
              </w:rPr>
              <w:t xml:space="preserve"> Hub</w:t>
            </w:r>
            <w:r w:rsidR="00621F68" w:rsidRPr="00166D67">
              <w:rPr>
                <w:sz w:val="17"/>
                <w:szCs w:val="17"/>
              </w:rPr>
              <w:t xml:space="preserve">: </w:t>
            </w:r>
            <w:hyperlink r:id="rId55" w:history="1">
              <w:r w:rsidR="00621F68" w:rsidRPr="00166D67">
                <w:rPr>
                  <w:rStyle w:val="Hyperlink"/>
                  <w:sz w:val="17"/>
                  <w:szCs w:val="17"/>
                </w:rPr>
                <w:t>FAQs for Regulated Firms</w:t>
              </w:r>
            </w:hyperlink>
          </w:p>
        </w:tc>
        <w:tc>
          <w:tcPr>
            <w:tcW w:w="1819" w:type="dxa"/>
            <w:shd w:val="clear" w:color="auto" w:fill="FFFFFF" w:themeFill="background1"/>
          </w:tcPr>
          <w:p w14:paraId="18E5390B" w14:textId="1E21CA72" w:rsidR="0063201D" w:rsidRPr="00166D67" w:rsidRDefault="0063201D" w:rsidP="0059185F">
            <w:pPr>
              <w:jc w:val="left"/>
              <w:rPr>
                <w:color w:val="FF0000"/>
                <w:sz w:val="17"/>
                <w:szCs w:val="17"/>
              </w:rPr>
            </w:pPr>
          </w:p>
        </w:tc>
        <w:tc>
          <w:tcPr>
            <w:tcW w:w="2155" w:type="dxa"/>
            <w:shd w:val="clear" w:color="auto" w:fill="FFFFFF" w:themeFill="background1"/>
          </w:tcPr>
          <w:p w14:paraId="2CCA27B9" w14:textId="634E2A4F" w:rsidR="0063201D" w:rsidRPr="00166D67" w:rsidRDefault="00621F68" w:rsidP="0059185F">
            <w:pPr>
              <w:jc w:val="left"/>
              <w:rPr>
                <w:sz w:val="17"/>
                <w:szCs w:val="17"/>
              </w:rPr>
            </w:pPr>
            <w:r w:rsidRPr="00166D67">
              <w:rPr>
                <w:sz w:val="17"/>
                <w:szCs w:val="17"/>
              </w:rPr>
              <w:t>All Regulated Financial Institutions</w:t>
            </w:r>
          </w:p>
        </w:tc>
        <w:tc>
          <w:tcPr>
            <w:tcW w:w="5523" w:type="dxa"/>
            <w:shd w:val="clear" w:color="auto" w:fill="FFFFFF" w:themeFill="background1"/>
          </w:tcPr>
          <w:p w14:paraId="6262BE0B" w14:textId="229B127A" w:rsidR="0063201D" w:rsidRPr="00166D67" w:rsidRDefault="00621F68" w:rsidP="0059185F">
            <w:pPr>
              <w:jc w:val="left"/>
              <w:rPr>
                <w:sz w:val="17"/>
                <w:szCs w:val="17"/>
              </w:rPr>
            </w:pPr>
            <w:r w:rsidRPr="00166D67">
              <w:rPr>
                <w:sz w:val="17"/>
                <w:szCs w:val="17"/>
              </w:rPr>
              <w:t>On 1 July 2020 the CBI updated the guidelines for regulated firms section of its COVID-19 Consumer Hub. The section issues instructions to financial institutions on how to deal with COVID-19 related issues such as payment breaks, and management of internal governance requirements at present when firms' staff are largely working remotely such that firms are not operating at full capacity in centralised terms.</w:t>
            </w:r>
          </w:p>
        </w:tc>
      </w:tr>
      <w:tr w:rsidR="00462B7D" w:rsidRPr="00166D67" w14:paraId="4F4379F4" w14:textId="77777777" w:rsidTr="001701F9">
        <w:trPr>
          <w:cantSplit/>
        </w:trPr>
        <w:tc>
          <w:tcPr>
            <w:tcW w:w="1097" w:type="dxa"/>
            <w:shd w:val="clear" w:color="auto" w:fill="FFFFFF" w:themeFill="background1"/>
          </w:tcPr>
          <w:p w14:paraId="118F53A2" w14:textId="4E8AC42A" w:rsidR="00462B7D" w:rsidRPr="007F1827" w:rsidRDefault="00462B7D" w:rsidP="0059185F">
            <w:pPr>
              <w:jc w:val="left"/>
              <w:rPr>
                <w:b/>
                <w:sz w:val="17"/>
                <w:szCs w:val="17"/>
              </w:rPr>
            </w:pPr>
            <w:r w:rsidRPr="007F1827">
              <w:rPr>
                <w:b/>
                <w:sz w:val="17"/>
                <w:szCs w:val="17"/>
              </w:rPr>
              <w:t>3 July 2020</w:t>
            </w:r>
          </w:p>
        </w:tc>
        <w:tc>
          <w:tcPr>
            <w:tcW w:w="1880" w:type="dxa"/>
            <w:shd w:val="clear" w:color="auto" w:fill="FFFFFF" w:themeFill="background1"/>
          </w:tcPr>
          <w:p w14:paraId="428826CC" w14:textId="12BB4F27" w:rsidR="00462B7D" w:rsidRPr="00166D67" w:rsidRDefault="00A324C3" w:rsidP="0059185F">
            <w:pPr>
              <w:jc w:val="left"/>
              <w:rPr>
                <w:sz w:val="17"/>
                <w:szCs w:val="17"/>
              </w:rPr>
            </w:pPr>
            <w:hyperlink r:id="rId56" w:history="1">
              <w:r w:rsidR="00462B7D" w:rsidRPr="00166D67">
                <w:rPr>
                  <w:rStyle w:val="Hyperlink"/>
                  <w:sz w:val="17"/>
                  <w:szCs w:val="17"/>
                </w:rPr>
                <w:t>Governor's Blog: Managing the medium term debt challenge</w:t>
              </w:r>
            </w:hyperlink>
          </w:p>
        </w:tc>
        <w:tc>
          <w:tcPr>
            <w:tcW w:w="1819" w:type="dxa"/>
            <w:shd w:val="clear" w:color="auto" w:fill="FFFFFF" w:themeFill="background1"/>
          </w:tcPr>
          <w:p w14:paraId="7C453BBE" w14:textId="77777777" w:rsidR="00462B7D" w:rsidRPr="00166D67" w:rsidRDefault="00462B7D" w:rsidP="0059185F">
            <w:pPr>
              <w:jc w:val="left"/>
              <w:rPr>
                <w:color w:val="FF0000"/>
                <w:sz w:val="17"/>
                <w:szCs w:val="17"/>
              </w:rPr>
            </w:pPr>
          </w:p>
        </w:tc>
        <w:tc>
          <w:tcPr>
            <w:tcW w:w="2155" w:type="dxa"/>
            <w:shd w:val="clear" w:color="auto" w:fill="FFFFFF" w:themeFill="background1"/>
          </w:tcPr>
          <w:p w14:paraId="0711EDD9" w14:textId="707BF7DC" w:rsidR="00462B7D" w:rsidRPr="00166D67" w:rsidRDefault="00807712" w:rsidP="0059185F">
            <w:pPr>
              <w:jc w:val="left"/>
              <w:rPr>
                <w:sz w:val="17"/>
                <w:szCs w:val="17"/>
              </w:rPr>
            </w:pPr>
            <w:r w:rsidRPr="00166D67">
              <w:rPr>
                <w:sz w:val="17"/>
                <w:szCs w:val="17"/>
              </w:rPr>
              <w:t>All regulated financial institutions and consumers</w:t>
            </w:r>
          </w:p>
        </w:tc>
        <w:tc>
          <w:tcPr>
            <w:tcW w:w="5523" w:type="dxa"/>
            <w:shd w:val="clear" w:color="auto" w:fill="FFFFFF" w:themeFill="background1"/>
          </w:tcPr>
          <w:p w14:paraId="55DE6131" w14:textId="293C32F0" w:rsidR="00462B7D" w:rsidRPr="00166D67" w:rsidRDefault="00462B7D" w:rsidP="0059185F">
            <w:pPr>
              <w:jc w:val="left"/>
              <w:rPr>
                <w:sz w:val="17"/>
                <w:szCs w:val="17"/>
              </w:rPr>
            </w:pPr>
            <w:r w:rsidRPr="00166D67">
              <w:rPr>
                <w:sz w:val="17"/>
                <w:szCs w:val="17"/>
              </w:rPr>
              <w:t xml:space="preserve">This blog post addresses Governor </w:t>
            </w:r>
            <w:proofErr w:type="spellStart"/>
            <w:r w:rsidRPr="00166D67">
              <w:rPr>
                <w:sz w:val="17"/>
                <w:szCs w:val="17"/>
              </w:rPr>
              <w:t>Makhlouf's</w:t>
            </w:r>
            <w:proofErr w:type="spellEnd"/>
            <w:r w:rsidRPr="00166D67">
              <w:rPr>
                <w:sz w:val="17"/>
                <w:szCs w:val="17"/>
              </w:rPr>
              <w:t xml:space="preserve"> </w:t>
            </w:r>
            <w:r w:rsidR="00E74532" w:rsidRPr="00166D67">
              <w:rPr>
                <w:sz w:val="17"/>
                <w:szCs w:val="17"/>
              </w:rPr>
              <w:t>views</w:t>
            </w:r>
            <w:r w:rsidRPr="00166D67">
              <w:rPr>
                <w:sz w:val="17"/>
                <w:szCs w:val="17"/>
              </w:rPr>
              <w:t xml:space="preserve"> on the debt scenarios </w:t>
            </w:r>
            <w:r w:rsidR="00594CD6" w:rsidRPr="00166D67">
              <w:rPr>
                <w:sz w:val="17"/>
                <w:szCs w:val="17"/>
              </w:rPr>
              <w:t>for Ireland in the aftermath of COVID-19. Noting that the fiscal response to the pandemic was necessary to protect firms and households, it is important to ensure the public finances remain stable and on firm footing. Although the current rise in government debt is affordable, clearing some of it is necessary to avoid future shocks destabilising the economy,</w:t>
            </w:r>
          </w:p>
        </w:tc>
      </w:tr>
      <w:tr w:rsidR="00594CD6" w:rsidRPr="00166D67" w14:paraId="63F96852" w14:textId="77777777" w:rsidTr="001701F9">
        <w:trPr>
          <w:cantSplit/>
        </w:trPr>
        <w:tc>
          <w:tcPr>
            <w:tcW w:w="1097" w:type="dxa"/>
            <w:shd w:val="clear" w:color="auto" w:fill="FFFFFF" w:themeFill="background1"/>
          </w:tcPr>
          <w:p w14:paraId="22CBBC95" w14:textId="146F2AA5" w:rsidR="00594CD6" w:rsidRPr="007F1827" w:rsidRDefault="00594CD6" w:rsidP="0059185F">
            <w:pPr>
              <w:jc w:val="left"/>
              <w:rPr>
                <w:b/>
                <w:sz w:val="17"/>
                <w:szCs w:val="17"/>
              </w:rPr>
            </w:pPr>
            <w:r w:rsidRPr="007F1827">
              <w:rPr>
                <w:b/>
                <w:sz w:val="17"/>
                <w:szCs w:val="17"/>
              </w:rPr>
              <w:t>6 July 2020</w:t>
            </w:r>
          </w:p>
        </w:tc>
        <w:tc>
          <w:tcPr>
            <w:tcW w:w="1880" w:type="dxa"/>
            <w:shd w:val="clear" w:color="auto" w:fill="FFFFFF" w:themeFill="background1"/>
          </w:tcPr>
          <w:p w14:paraId="7D0E6582" w14:textId="7A8732CF" w:rsidR="00594CD6" w:rsidRPr="00166D67" w:rsidRDefault="00B6542C" w:rsidP="0059185F">
            <w:pPr>
              <w:jc w:val="left"/>
              <w:rPr>
                <w:sz w:val="17"/>
                <w:szCs w:val="17"/>
              </w:rPr>
            </w:pPr>
            <w:r w:rsidRPr="00166D67">
              <w:rPr>
                <w:sz w:val="17"/>
                <w:szCs w:val="17"/>
              </w:rPr>
              <w:t xml:space="preserve">COVID-19 Hub: </w:t>
            </w:r>
            <w:hyperlink r:id="rId57" w:history="1">
              <w:r w:rsidRPr="00166D67">
                <w:rPr>
                  <w:rStyle w:val="Hyperlink"/>
                  <w:sz w:val="17"/>
                  <w:szCs w:val="17"/>
                </w:rPr>
                <w:t>COVID-19 Consumer FAQs</w:t>
              </w:r>
            </w:hyperlink>
          </w:p>
        </w:tc>
        <w:tc>
          <w:tcPr>
            <w:tcW w:w="1819" w:type="dxa"/>
            <w:shd w:val="clear" w:color="auto" w:fill="FFFFFF" w:themeFill="background1"/>
          </w:tcPr>
          <w:p w14:paraId="2C593413" w14:textId="77777777" w:rsidR="00594CD6" w:rsidRPr="00166D67" w:rsidRDefault="00594CD6" w:rsidP="0059185F">
            <w:pPr>
              <w:jc w:val="left"/>
              <w:rPr>
                <w:color w:val="FF0000"/>
                <w:sz w:val="17"/>
                <w:szCs w:val="17"/>
              </w:rPr>
            </w:pPr>
          </w:p>
        </w:tc>
        <w:tc>
          <w:tcPr>
            <w:tcW w:w="2155" w:type="dxa"/>
            <w:shd w:val="clear" w:color="auto" w:fill="FFFFFF" w:themeFill="background1"/>
          </w:tcPr>
          <w:p w14:paraId="752F7C83" w14:textId="26DD43F5" w:rsidR="00594CD6" w:rsidRPr="00166D67" w:rsidRDefault="00B6542C" w:rsidP="0059185F">
            <w:pPr>
              <w:jc w:val="left"/>
              <w:rPr>
                <w:sz w:val="17"/>
                <w:szCs w:val="17"/>
              </w:rPr>
            </w:pPr>
            <w:r w:rsidRPr="00166D67">
              <w:rPr>
                <w:sz w:val="17"/>
                <w:szCs w:val="17"/>
              </w:rPr>
              <w:t>All regulated financial institutions and consumers</w:t>
            </w:r>
          </w:p>
        </w:tc>
        <w:tc>
          <w:tcPr>
            <w:tcW w:w="5523" w:type="dxa"/>
            <w:shd w:val="clear" w:color="auto" w:fill="FFFFFF" w:themeFill="background1"/>
          </w:tcPr>
          <w:p w14:paraId="39C8B5F6" w14:textId="2F8FC666" w:rsidR="00594CD6" w:rsidRPr="00166D67" w:rsidRDefault="00B6542C" w:rsidP="0059185F">
            <w:pPr>
              <w:jc w:val="left"/>
              <w:rPr>
                <w:sz w:val="17"/>
                <w:szCs w:val="17"/>
              </w:rPr>
            </w:pPr>
            <w:r w:rsidRPr="00166D67">
              <w:rPr>
                <w:sz w:val="17"/>
                <w:szCs w:val="17"/>
              </w:rPr>
              <w:t>On 6 July 2020, the CBI updated its COVID-19 hub. The section provides up to date advice on consumer issues related to the pandemic, such as mortgage payment breaks, scams and fraud, insurance and general banking and investment issues. It also provides guidance to regulated firms on handling COVID-19 issues with a consumer focus.</w:t>
            </w:r>
          </w:p>
        </w:tc>
      </w:tr>
      <w:tr w:rsidR="00594CD6" w:rsidRPr="00166D67" w14:paraId="1CCE503F" w14:textId="77777777" w:rsidTr="001701F9">
        <w:trPr>
          <w:cantSplit/>
        </w:trPr>
        <w:tc>
          <w:tcPr>
            <w:tcW w:w="1097" w:type="dxa"/>
            <w:shd w:val="clear" w:color="auto" w:fill="FFFFFF" w:themeFill="background1"/>
          </w:tcPr>
          <w:p w14:paraId="2E01FD75" w14:textId="28EF8813" w:rsidR="00594CD6" w:rsidRPr="007F1827" w:rsidRDefault="00594CD6" w:rsidP="0059185F">
            <w:pPr>
              <w:jc w:val="left"/>
              <w:rPr>
                <w:b/>
                <w:sz w:val="17"/>
                <w:szCs w:val="17"/>
              </w:rPr>
            </w:pPr>
            <w:r w:rsidRPr="007F1827">
              <w:rPr>
                <w:b/>
                <w:sz w:val="17"/>
                <w:szCs w:val="17"/>
              </w:rPr>
              <w:t>7 July 2020</w:t>
            </w:r>
          </w:p>
        </w:tc>
        <w:tc>
          <w:tcPr>
            <w:tcW w:w="1880" w:type="dxa"/>
            <w:shd w:val="clear" w:color="auto" w:fill="FFFFFF" w:themeFill="background1"/>
          </w:tcPr>
          <w:p w14:paraId="1D652B33" w14:textId="2E4C9296" w:rsidR="00594CD6" w:rsidRPr="00166D67" w:rsidRDefault="00A324C3" w:rsidP="0059185F">
            <w:pPr>
              <w:jc w:val="left"/>
              <w:rPr>
                <w:sz w:val="17"/>
                <w:szCs w:val="17"/>
              </w:rPr>
            </w:pPr>
            <w:hyperlink r:id="rId58" w:history="1">
              <w:r w:rsidR="00594CD6" w:rsidRPr="00166D67">
                <w:rPr>
                  <w:rStyle w:val="Hyperlink"/>
                  <w:sz w:val="17"/>
                  <w:szCs w:val="17"/>
                </w:rPr>
                <w:t xml:space="preserve">Introductory statement by Governor Gabriel </w:t>
              </w:r>
              <w:proofErr w:type="spellStart"/>
              <w:r w:rsidR="00594CD6" w:rsidRPr="00166D67">
                <w:rPr>
                  <w:rStyle w:val="Hyperlink"/>
                  <w:sz w:val="17"/>
                  <w:szCs w:val="17"/>
                </w:rPr>
                <w:t>Makhlouf</w:t>
              </w:r>
              <w:proofErr w:type="spellEnd"/>
              <w:r w:rsidR="00594CD6" w:rsidRPr="00166D67">
                <w:rPr>
                  <w:rStyle w:val="Hyperlink"/>
                  <w:sz w:val="17"/>
                  <w:szCs w:val="17"/>
                </w:rPr>
                <w:t xml:space="preserve"> at the Special </w:t>
              </w:r>
              <w:proofErr w:type="spellStart"/>
              <w:r w:rsidR="00594CD6" w:rsidRPr="00166D67">
                <w:rPr>
                  <w:rStyle w:val="Hyperlink"/>
                  <w:sz w:val="17"/>
                  <w:szCs w:val="17"/>
                </w:rPr>
                <w:t>Oireachtas</w:t>
              </w:r>
              <w:proofErr w:type="spellEnd"/>
              <w:r w:rsidR="00594CD6" w:rsidRPr="00166D67">
                <w:rPr>
                  <w:rStyle w:val="Hyperlink"/>
                  <w:sz w:val="17"/>
                  <w:szCs w:val="17"/>
                </w:rPr>
                <w:t xml:space="preserve"> Committee on Covid-19</w:t>
              </w:r>
            </w:hyperlink>
          </w:p>
        </w:tc>
        <w:tc>
          <w:tcPr>
            <w:tcW w:w="1819" w:type="dxa"/>
            <w:shd w:val="clear" w:color="auto" w:fill="FFFFFF" w:themeFill="background1"/>
          </w:tcPr>
          <w:p w14:paraId="4D37181F" w14:textId="77777777" w:rsidR="00594CD6" w:rsidRPr="00166D67" w:rsidRDefault="00594CD6" w:rsidP="0059185F">
            <w:pPr>
              <w:jc w:val="left"/>
              <w:rPr>
                <w:color w:val="FF0000"/>
                <w:sz w:val="17"/>
                <w:szCs w:val="17"/>
              </w:rPr>
            </w:pPr>
          </w:p>
        </w:tc>
        <w:tc>
          <w:tcPr>
            <w:tcW w:w="2155" w:type="dxa"/>
            <w:shd w:val="clear" w:color="auto" w:fill="FFFFFF" w:themeFill="background1"/>
          </w:tcPr>
          <w:p w14:paraId="55A539DF" w14:textId="15D15C76" w:rsidR="00594CD6" w:rsidRPr="00166D67" w:rsidRDefault="00594CD6" w:rsidP="0059185F">
            <w:pPr>
              <w:jc w:val="left"/>
              <w:rPr>
                <w:sz w:val="17"/>
                <w:szCs w:val="17"/>
              </w:rPr>
            </w:pPr>
            <w:r w:rsidRPr="00166D67">
              <w:rPr>
                <w:sz w:val="17"/>
                <w:szCs w:val="17"/>
              </w:rPr>
              <w:t>All Regulated Financial Institutions</w:t>
            </w:r>
            <w:r w:rsidR="00B6542C" w:rsidRPr="00166D67">
              <w:rPr>
                <w:sz w:val="17"/>
                <w:szCs w:val="17"/>
              </w:rPr>
              <w:t xml:space="preserve"> </w:t>
            </w:r>
          </w:p>
        </w:tc>
        <w:tc>
          <w:tcPr>
            <w:tcW w:w="5523" w:type="dxa"/>
            <w:shd w:val="clear" w:color="auto" w:fill="FFFFFF" w:themeFill="background1"/>
          </w:tcPr>
          <w:p w14:paraId="3EAA0D55" w14:textId="16F5827E" w:rsidR="00594CD6" w:rsidRPr="00166D67" w:rsidRDefault="00594CD6" w:rsidP="0059185F">
            <w:pPr>
              <w:pStyle w:val="BodyALG"/>
              <w:jc w:val="left"/>
              <w:rPr>
                <w:sz w:val="17"/>
                <w:szCs w:val="17"/>
              </w:rPr>
            </w:pPr>
            <w:r w:rsidRPr="00166D67">
              <w:rPr>
                <w:sz w:val="17"/>
                <w:szCs w:val="17"/>
              </w:rPr>
              <w:t xml:space="preserve">Governor </w:t>
            </w:r>
            <w:proofErr w:type="spellStart"/>
            <w:r w:rsidRPr="00166D67">
              <w:rPr>
                <w:sz w:val="17"/>
                <w:szCs w:val="17"/>
              </w:rPr>
              <w:t>Makhlouf</w:t>
            </w:r>
            <w:proofErr w:type="spellEnd"/>
            <w:r w:rsidRPr="00166D67">
              <w:rPr>
                <w:sz w:val="17"/>
                <w:szCs w:val="17"/>
              </w:rPr>
              <w:t xml:space="preserve"> appeared before the </w:t>
            </w:r>
            <w:proofErr w:type="spellStart"/>
            <w:r w:rsidRPr="00166D67">
              <w:rPr>
                <w:sz w:val="17"/>
                <w:szCs w:val="17"/>
              </w:rPr>
              <w:t>Oireachtas</w:t>
            </w:r>
            <w:proofErr w:type="spellEnd"/>
            <w:r w:rsidRPr="00166D67">
              <w:rPr>
                <w:sz w:val="17"/>
                <w:szCs w:val="17"/>
              </w:rPr>
              <w:t xml:space="preserve"> Committee on COVID-19 on 7 July 2020 to discuss the macroeconomic </w:t>
            </w:r>
            <w:r w:rsidR="00D16387" w:rsidRPr="00166D67">
              <w:rPr>
                <w:sz w:val="17"/>
                <w:szCs w:val="17"/>
              </w:rPr>
              <w:t xml:space="preserve">impact of COVID-19 on the economy. He also addressed the fiscal and monetary response. He noted that the outlook for the economy is uncertain, and that the cost of the pandemic, currently €9 billion to the Irish Government, with an additional €7 billion in additional indirect supports required. Governor </w:t>
            </w:r>
            <w:proofErr w:type="spellStart"/>
            <w:r w:rsidR="00D16387" w:rsidRPr="00166D67">
              <w:rPr>
                <w:sz w:val="17"/>
                <w:szCs w:val="17"/>
              </w:rPr>
              <w:t>Makhlouf</w:t>
            </w:r>
            <w:proofErr w:type="spellEnd"/>
            <w:r w:rsidR="00D16387" w:rsidRPr="00166D67">
              <w:rPr>
                <w:sz w:val="17"/>
                <w:szCs w:val="17"/>
              </w:rPr>
              <w:t xml:space="preserve"> expressed his belief that the package of responses has thus far mitigated the impact of COVID-19, but that the Government must pay careful attention to future policy considerations in respect of unemployment, government deficit and sustained economic resilience. </w:t>
            </w:r>
          </w:p>
        </w:tc>
      </w:tr>
      <w:tr w:rsidR="00A31C67" w:rsidRPr="00166D67" w14:paraId="1488B61B" w14:textId="77777777" w:rsidTr="001701F9">
        <w:trPr>
          <w:cantSplit/>
        </w:trPr>
        <w:tc>
          <w:tcPr>
            <w:tcW w:w="1097" w:type="dxa"/>
            <w:shd w:val="clear" w:color="auto" w:fill="FFFFFF" w:themeFill="background1"/>
          </w:tcPr>
          <w:p w14:paraId="65F36FF8" w14:textId="4BCD64BC" w:rsidR="00A31C67" w:rsidRPr="007F1827" w:rsidRDefault="00A31C67" w:rsidP="0059185F">
            <w:pPr>
              <w:jc w:val="left"/>
              <w:rPr>
                <w:b/>
                <w:sz w:val="17"/>
                <w:szCs w:val="17"/>
              </w:rPr>
            </w:pPr>
            <w:r w:rsidRPr="007F1827">
              <w:rPr>
                <w:b/>
                <w:sz w:val="17"/>
                <w:szCs w:val="17"/>
              </w:rPr>
              <w:t>8 July 2020</w:t>
            </w:r>
          </w:p>
        </w:tc>
        <w:tc>
          <w:tcPr>
            <w:tcW w:w="1880" w:type="dxa"/>
            <w:shd w:val="clear" w:color="auto" w:fill="FFFFFF" w:themeFill="background1"/>
          </w:tcPr>
          <w:p w14:paraId="471B68C4" w14:textId="5514B0D9" w:rsidR="00A31C67" w:rsidRPr="00166D67" w:rsidRDefault="00A324C3" w:rsidP="0059185F">
            <w:pPr>
              <w:jc w:val="left"/>
              <w:rPr>
                <w:sz w:val="17"/>
                <w:szCs w:val="17"/>
              </w:rPr>
            </w:pPr>
            <w:hyperlink r:id="rId59" w:history="1">
              <w:r w:rsidR="00A31C67" w:rsidRPr="00166D67">
                <w:rPr>
                  <w:rStyle w:val="Hyperlink"/>
                  <w:sz w:val="17"/>
                  <w:szCs w:val="17"/>
                </w:rPr>
                <w:t>Governor's Blog: Public Policies to Support Firms Through COVID-19</w:t>
              </w:r>
            </w:hyperlink>
          </w:p>
        </w:tc>
        <w:tc>
          <w:tcPr>
            <w:tcW w:w="1819" w:type="dxa"/>
            <w:shd w:val="clear" w:color="auto" w:fill="FFFFFF" w:themeFill="background1"/>
          </w:tcPr>
          <w:p w14:paraId="018F01B8" w14:textId="77777777" w:rsidR="00A31C67" w:rsidRPr="00166D67" w:rsidRDefault="00A31C67" w:rsidP="0059185F">
            <w:pPr>
              <w:jc w:val="left"/>
              <w:rPr>
                <w:color w:val="FF0000"/>
                <w:sz w:val="17"/>
                <w:szCs w:val="17"/>
              </w:rPr>
            </w:pPr>
          </w:p>
        </w:tc>
        <w:tc>
          <w:tcPr>
            <w:tcW w:w="2155" w:type="dxa"/>
            <w:shd w:val="clear" w:color="auto" w:fill="FFFFFF" w:themeFill="background1"/>
          </w:tcPr>
          <w:p w14:paraId="6641B381" w14:textId="0F57CA46" w:rsidR="00A31C67" w:rsidRPr="00166D67" w:rsidRDefault="00A31C67" w:rsidP="0059185F">
            <w:pPr>
              <w:jc w:val="left"/>
              <w:rPr>
                <w:sz w:val="17"/>
                <w:szCs w:val="17"/>
              </w:rPr>
            </w:pPr>
            <w:r w:rsidRPr="00166D67">
              <w:rPr>
                <w:sz w:val="17"/>
                <w:szCs w:val="17"/>
              </w:rPr>
              <w:t>All regulated financial institutions</w:t>
            </w:r>
          </w:p>
        </w:tc>
        <w:tc>
          <w:tcPr>
            <w:tcW w:w="5523" w:type="dxa"/>
            <w:shd w:val="clear" w:color="auto" w:fill="FFFFFF" w:themeFill="background1"/>
          </w:tcPr>
          <w:p w14:paraId="01903688" w14:textId="7074A47F" w:rsidR="00A31C67" w:rsidRPr="00166D67" w:rsidRDefault="00A31C67" w:rsidP="0059185F">
            <w:pPr>
              <w:pStyle w:val="BodyALG"/>
              <w:jc w:val="left"/>
              <w:rPr>
                <w:sz w:val="17"/>
                <w:szCs w:val="17"/>
              </w:rPr>
            </w:pPr>
            <w:r w:rsidRPr="00166D67">
              <w:rPr>
                <w:sz w:val="17"/>
                <w:szCs w:val="17"/>
              </w:rPr>
              <w:t xml:space="preserve">This blog post addresses Governor </w:t>
            </w:r>
            <w:proofErr w:type="spellStart"/>
            <w:r w:rsidRPr="00166D67">
              <w:rPr>
                <w:sz w:val="17"/>
                <w:szCs w:val="17"/>
              </w:rPr>
              <w:t>Makhlouf's</w:t>
            </w:r>
            <w:proofErr w:type="spellEnd"/>
            <w:r w:rsidRPr="00166D67">
              <w:rPr>
                <w:sz w:val="17"/>
                <w:szCs w:val="17"/>
              </w:rPr>
              <w:t xml:space="preserve"> views on supporting the productive capacity of the economy and avoiding scarring effects such as long-term unemployment. The Governor supports measures to reduce the risk of failure for otherwise viable firms including government schemes and the efforts of credit institutions. Credit institutions </w:t>
            </w:r>
            <w:r w:rsidR="00D672E4" w:rsidRPr="00166D67">
              <w:rPr>
                <w:sz w:val="17"/>
                <w:szCs w:val="17"/>
              </w:rPr>
              <w:t xml:space="preserve">are described as being part of </w:t>
            </w:r>
            <w:r w:rsidRPr="00166D67">
              <w:rPr>
                <w:sz w:val="17"/>
                <w:szCs w:val="17"/>
              </w:rPr>
              <w:t>the risk-sharing function in the current crisis given their continued lending and forbearance measures.</w:t>
            </w:r>
          </w:p>
        </w:tc>
      </w:tr>
      <w:tr w:rsidR="00307BBC" w:rsidRPr="00166D67" w14:paraId="779127AB" w14:textId="77777777" w:rsidTr="001701F9">
        <w:trPr>
          <w:cantSplit/>
        </w:trPr>
        <w:tc>
          <w:tcPr>
            <w:tcW w:w="1097" w:type="dxa"/>
            <w:shd w:val="clear" w:color="auto" w:fill="FFFFFF" w:themeFill="background1"/>
          </w:tcPr>
          <w:p w14:paraId="2584FC6A" w14:textId="2D68ABA5" w:rsidR="00307BBC" w:rsidRPr="007F1827" w:rsidRDefault="00307BBC" w:rsidP="0059185F">
            <w:pPr>
              <w:jc w:val="left"/>
              <w:rPr>
                <w:b/>
                <w:sz w:val="17"/>
                <w:szCs w:val="17"/>
              </w:rPr>
            </w:pPr>
            <w:r w:rsidRPr="007F1827">
              <w:rPr>
                <w:b/>
                <w:sz w:val="17"/>
                <w:szCs w:val="17"/>
              </w:rPr>
              <w:t>21 July 2020</w:t>
            </w:r>
          </w:p>
        </w:tc>
        <w:tc>
          <w:tcPr>
            <w:tcW w:w="1880" w:type="dxa"/>
            <w:shd w:val="clear" w:color="auto" w:fill="FFFFFF" w:themeFill="background1"/>
          </w:tcPr>
          <w:p w14:paraId="79D43D08" w14:textId="238DB6FA" w:rsidR="00307BBC" w:rsidRPr="00166D67" w:rsidRDefault="00A324C3" w:rsidP="0059185F">
            <w:pPr>
              <w:jc w:val="left"/>
              <w:rPr>
                <w:sz w:val="17"/>
                <w:szCs w:val="17"/>
              </w:rPr>
            </w:pPr>
            <w:hyperlink r:id="rId60" w:history="1">
              <w:r w:rsidR="00307BBC" w:rsidRPr="00166D67">
                <w:rPr>
                  <w:rStyle w:val="Hyperlink"/>
                  <w:sz w:val="17"/>
                  <w:szCs w:val="17"/>
                </w:rPr>
                <w:t>SME Market Report 2020 - The Impact of Covid-19 on SMEs</w:t>
              </w:r>
            </w:hyperlink>
          </w:p>
        </w:tc>
        <w:tc>
          <w:tcPr>
            <w:tcW w:w="1819" w:type="dxa"/>
            <w:shd w:val="clear" w:color="auto" w:fill="FFFFFF" w:themeFill="background1"/>
          </w:tcPr>
          <w:p w14:paraId="5E365A89" w14:textId="77777777" w:rsidR="00307BBC" w:rsidRPr="00166D67" w:rsidRDefault="00307BBC" w:rsidP="0059185F">
            <w:pPr>
              <w:jc w:val="left"/>
              <w:rPr>
                <w:color w:val="FF0000"/>
                <w:sz w:val="17"/>
                <w:szCs w:val="17"/>
              </w:rPr>
            </w:pPr>
          </w:p>
        </w:tc>
        <w:tc>
          <w:tcPr>
            <w:tcW w:w="2155" w:type="dxa"/>
            <w:shd w:val="clear" w:color="auto" w:fill="FFFFFF" w:themeFill="background1"/>
          </w:tcPr>
          <w:p w14:paraId="0EB16D17" w14:textId="77777777" w:rsidR="00307BBC" w:rsidRPr="00166D67" w:rsidRDefault="00307BBC" w:rsidP="0059185F">
            <w:pPr>
              <w:jc w:val="left"/>
              <w:rPr>
                <w:sz w:val="17"/>
                <w:szCs w:val="17"/>
              </w:rPr>
            </w:pPr>
            <w:r w:rsidRPr="00166D67">
              <w:rPr>
                <w:sz w:val="17"/>
                <w:szCs w:val="17"/>
              </w:rPr>
              <w:t>Credit Institutions</w:t>
            </w:r>
          </w:p>
          <w:p w14:paraId="663C12B5" w14:textId="47B2BDC8" w:rsidR="00307BBC" w:rsidRPr="00166D67" w:rsidRDefault="00307BBC" w:rsidP="0059185F">
            <w:pPr>
              <w:jc w:val="left"/>
              <w:rPr>
                <w:sz w:val="17"/>
                <w:szCs w:val="17"/>
              </w:rPr>
            </w:pPr>
            <w:r w:rsidRPr="00166D67">
              <w:rPr>
                <w:sz w:val="17"/>
                <w:szCs w:val="17"/>
              </w:rPr>
              <w:t>Retail Credit Firms</w:t>
            </w:r>
          </w:p>
        </w:tc>
        <w:tc>
          <w:tcPr>
            <w:tcW w:w="5523" w:type="dxa"/>
            <w:shd w:val="clear" w:color="auto" w:fill="FFFFFF" w:themeFill="background1"/>
          </w:tcPr>
          <w:p w14:paraId="2F2784DD" w14:textId="2AD70861" w:rsidR="00307BBC" w:rsidRPr="00166D67" w:rsidRDefault="00307BBC" w:rsidP="0059185F">
            <w:pPr>
              <w:jc w:val="left"/>
              <w:rPr>
                <w:sz w:val="17"/>
                <w:szCs w:val="17"/>
              </w:rPr>
            </w:pPr>
            <w:r w:rsidRPr="00166D67">
              <w:rPr>
                <w:sz w:val="17"/>
                <w:szCs w:val="17"/>
              </w:rPr>
              <w:t>The CBI</w:t>
            </w:r>
            <w:r w:rsidR="00DE5B2D" w:rsidRPr="00166D67">
              <w:rPr>
                <w:sz w:val="17"/>
                <w:szCs w:val="17"/>
              </w:rPr>
              <w:t xml:space="preserve"> has </w:t>
            </w:r>
            <w:r w:rsidRPr="00166D67">
              <w:rPr>
                <w:sz w:val="17"/>
                <w:szCs w:val="17"/>
              </w:rPr>
              <w:t xml:space="preserve">published its </w:t>
            </w:r>
            <w:hyperlink r:id="rId61" w:history="1">
              <w:r w:rsidRPr="00166D67">
                <w:rPr>
                  <w:rStyle w:val="Hyperlink"/>
                  <w:color w:val="auto"/>
                  <w:sz w:val="17"/>
                  <w:szCs w:val="17"/>
                </w:rPr>
                <w:t>report</w:t>
              </w:r>
            </w:hyperlink>
            <w:r w:rsidR="00DE5B2D" w:rsidRPr="00166D67">
              <w:rPr>
                <w:sz w:val="17"/>
                <w:szCs w:val="17"/>
              </w:rPr>
              <w:t xml:space="preserve"> on the SME market for 2020</w:t>
            </w:r>
            <w:r w:rsidRPr="00166D67">
              <w:rPr>
                <w:sz w:val="17"/>
                <w:szCs w:val="17"/>
              </w:rPr>
              <w:t>. The report focuses on the impact of COVID-19 on the SME sector. Key findings include:</w:t>
            </w:r>
          </w:p>
          <w:p w14:paraId="1A20D8A5" w14:textId="77777777" w:rsidR="00307BBC" w:rsidRPr="00166D67" w:rsidRDefault="00307BBC" w:rsidP="0059185F">
            <w:pPr>
              <w:pStyle w:val="BulletL1"/>
              <w:jc w:val="left"/>
              <w:rPr>
                <w:sz w:val="17"/>
                <w:szCs w:val="17"/>
              </w:rPr>
            </w:pPr>
            <w:r w:rsidRPr="00166D67">
              <w:rPr>
                <w:sz w:val="17"/>
                <w:szCs w:val="17"/>
              </w:rPr>
              <w:t>Turnovers in some instances have fallen by up to 75%, but this varies by sector;</w:t>
            </w:r>
          </w:p>
          <w:p w14:paraId="7923FAEB" w14:textId="77777777" w:rsidR="00307BBC" w:rsidRPr="00166D67" w:rsidRDefault="00307BBC" w:rsidP="0059185F">
            <w:pPr>
              <w:pStyle w:val="BulletL1"/>
              <w:jc w:val="left"/>
              <w:rPr>
                <w:sz w:val="17"/>
                <w:szCs w:val="17"/>
              </w:rPr>
            </w:pPr>
            <w:r w:rsidRPr="00166D67">
              <w:rPr>
                <w:sz w:val="17"/>
                <w:szCs w:val="17"/>
              </w:rPr>
              <w:t>Firms are adopting varied approaches to reducing costs;</w:t>
            </w:r>
          </w:p>
          <w:p w14:paraId="745E066C" w14:textId="77777777" w:rsidR="00307BBC" w:rsidRPr="00166D67" w:rsidRDefault="00307BBC" w:rsidP="0059185F">
            <w:pPr>
              <w:pStyle w:val="BulletL1"/>
              <w:jc w:val="left"/>
              <w:rPr>
                <w:sz w:val="17"/>
                <w:szCs w:val="17"/>
              </w:rPr>
            </w:pPr>
            <w:r w:rsidRPr="00166D67">
              <w:rPr>
                <w:sz w:val="17"/>
                <w:szCs w:val="17"/>
              </w:rPr>
              <w:t>24% of firms ceased trading temporarily or permanently in April but this declined to 11% by 31 May;</w:t>
            </w:r>
          </w:p>
          <w:p w14:paraId="56296394" w14:textId="77777777" w:rsidR="00307BBC" w:rsidRPr="00166D67" w:rsidRDefault="00307BBC" w:rsidP="0059185F">
            <w:pPr>
              <w:pStyle w:val="BulletL1"/>
              <w:jc w:val="left"/>
              <w:rPr>
                <w:sz w:val="17"/>
                <w:szCs w:val="17"/>
              </w:rPr>
            </w:pPr>
            <w:r w:rsidRPr="00166D67">
              <w:rPr>
                <w:sz w:val="17"/>
                <w:szCs w:val="17"/>
              </w:rPr>
              <w:t>The accommodation and food sectors reached near full utilisation of credit balances in May, and such sectors are more exposed to the shock of COVID-19;</w:t>
            </w:r>
          </w:p>
          <w:p w14:paraId="0CDE18D5" w14:textId="77777777" w:rsidR="00307BBC" w:rsidRPr="00166D67" w:rsidRDefault="00307BBC" w:rsidP="0059185F">
            <w:pPr>
              <w:pStyle w:val="BulletL1"/>
              <w:jc w:val="left"/>
              <w:rPr>
                <w:sz w:val="17"/>
                <w:szCs w:val="17"/>
              </w:rPr>
            </w:pPr>
            <w:r w:rsidRPr="00166D67">
              <w:rPr>
                <w:sz w:val="17"/>
                <w:szCs w:val="17"/>
              </w:rPr>
              <w:t>SME lending has tightened with banks imposing higher standards – further tightening of standards is expected;</w:t>
            </w:r>
          </w:p>
          <w:p w14:paraId="29A69AE6" w14:textId="3F6B64B7" w:rsidR="00307BBC" w:rsidRPr="00166D67" w:rsidRDefault="00307BBC" w:rsidP="0059185F">
            <w:pPr>
              <w:pStyle w:val="BodyALG"/>
              <w:jc w:val="left"/>
              <w:rPr>
                <w:sz w:val="17"/>
                <w:szCs w:val="17"/>
              </w:rPr>
            </w:pPr>
            <w:r w:rsidRPr="00166D67">
              <w:rPr>
                <w:sz w:val="17"/>
                <w:szCs w:val="17"/>
              </w:rPr>
              <w:t>Up to 42% of firms have changed or deferred payment methods in order to secure cash flows – this increases to 91% of firms in the accommodation and food sector.</w:t>
            </w:r>
          </w:p>
        </w:tc>
      </w:tr>
      <w:tr w:rsidR="00307BBC" w:rsidRPr="00166D67" w14:paraId="038450DA" w14:textId="77777777" w:rsidTr="001701F9">
        <w:trPr>
          <w:cantSplit/>
        </w:trPr>
        <w:tc>
          <w:tcPr>
            <w:tcW w:w="1097" w:type="dxa"/>
            <w:shd w:val="clear" w:color="auto" w:fill="FFFFFF" w:themeFill="background1"/>
          </w:tcPr>
          <w:p w14:paraId="2E66F5D9" w14:textId="42456EB5" w:rsidR="00307BBC" w:rsidRPr="007F1827" w:rsidRDefault="00307BBC" w:rsidP="0059185F">
            <w:pPr>
              <w:jc w:val="left"/>
              <w:rPr>
                <w:b/>
                <w:sz w:val="17"/>
                <w:szCs w:val="17"/>
              </w:rPr>
            </w:pPr>
            <w:r w:rsidRPr="007F1827">
              <w:rPr>
                <w:b/>
                <w:sz w:val="17"/>
                <w:szCs w:val="17"/>
              </w:rPr>
              <w:t>22 July 2020</w:t>
            </w:r>
          </w:p>
        </w:tc>
        <w:tc>
          <w:tcPr>
            <w:tcW w:w="1880" w:type="dxa"/>
            <w:shd w:val="clear" w:color="auto" w:fill="FFFFFF" w:themeFill="background1"/>
          </w:tcPr>
          <w:p w14:paraId="3EF25E66" w14:textId="7CB4FAC1" w:rsidR="00307BBC" w:rsidRPr="00166D67" w:rsidRDefault="00A324C3" w:rsidP="0059185F">
            <w:pPr>
              <w:jc w:val="left"/>
              <w:rPr>
                <w:sz w:val="17"/>
                <w:szCs w:val="17"/>
              </w:rPr>
            </w:pPr>
            <w:hyperlink r:id="rId62" w:history="1">
              <w:r w:rsidR="00307BBC" w:rsidRPr="00166D67">
                <w:rPr>
                  <w:rStyle w:val="Hyperlink"/>
                  <w:sz w:val="17"/>
                  <w:szCs w:val="17"/>
                </w:rPr>
                <w:t>Governor's Blog: What's happened to consumption?</w:t>
              </w:r>
            </w:hyperlink>
          </w:p>
        </w:tc>
        <w:tc>
          <w:tcPr>
            <w:tcW w:w="1819" w:type="dxa"/>
            <w:shd w:val="clear" w:color="auto" w:fill="FFFFFF" w:themeFill="background1"/>
          </w:tcPr>
          <w:p w14:paraId="731C3D5A" w14:textId="77777777" w:rsidR="00307BBC" w:rsidRPr="00166D67" w:rsidRDefault="00307BBC" w:rsidP="0059185F">
            <w:pPr>
              <w:jc w:val="left"/>
              <w:rPr>
                <w:color w:val="FF0000"/>
                <w:sz w:val="17"/>
                <w:szCs w:val="17"/>
              </w:rPr>
            </w:pPr>
          </w:p>
        </w:tc>
        <w:tc>
          <w:tcPr>
            <w:tcW w:w="2155" w:type="dxa"/>
            <w:shd w:val="clear" w:color="auto" w:fill="FFFFFF" w:themeFill="background1"/>
          </w:tcPr>
          <w:p w14:paraId="1D6A9EC8" w14:textId="4604B89F" w:rsidR="00307BBC" w:rsidRPr="00166D67" w:rsidRDefault="00307BBC" w:rsidP="0059185F">
            <w:pPr>
              <w:jc w:val="left"/>
              <w:rPr>
                <w:sz w:val="17"/>
                <w:szCs w:val="17"/>
              </w:rPr>
            </w:pPr>
            <w:r w:rsidRPr="00166D67">
              <w:rPr>
                <w:sz w:val="17"/>
                <w:szCs w:val="17"/>
              </w:rPr>
              <w:t>All regulated entities and consumers</w:t>
            </w:r>
          </w:p>
        </w:tc>
        <w:tc>
          <w:tcPr>
            <w:tcW w:w="5523" w:type="dxa"/>
            <w:shd w:val="clear" w:color="auto" w:fill="FFFFFF" w:themeFill="background1"/>
          </w:tcPr>
          <w:p w14:paraId="1E5A2684" w14:textId="45D79B71" w:rsidR="00307BBC" w:rsidRPr="00166D67" w:rsidRDefault="00307BBC" w:rsidP="0059185F">
            <w:pPr>
              <w:jc w:val="left"/>
              <w:rPr>
                <w:sz w:val="17"/>
                <w:szCs w:val="17"/>
              </w:rPr>
            </w:pPr>
            <w:r w:rsidRPr="00166D67">
              <w:rPr>
                <w:sz w:val="17"/>
                <w:szCs w:val="17"/>
              </w:rPr>
              <w:t xml:space="preserve">Governor </w:t>
            </w:r>
            <w:proofErr w:type="spellStart"/>
            <w:r w:rsidRPr="00166D67">
              <w:rPr>
                <w:sz w:val="17"/>
                <w:szCs w:val="17"/>
              </w:rPr>
              <w:t>Makhlouf</w:t>
            </w:r>
            <w:proofErr w:type="spellEnd"/>
            <w:r w:rsidRPr="00166D67">
              <w:rPr>
                <w:sz w:val="17"/>
                <w:szCs w:val="17"/>
              </w:rPr>
              <w:t xml:space="preserve"> updated his blog on 22 July 2020, turning his attention to the impact of COVID-19 on consumption. Noting that the pandemic presents an unusual scenario where people have stopped spending due to an inability to do so, rather than</w:t>
            </w:r>
            <w:r w:rsidR="00785AF2" w:rsidRPr="00166D67">
              <w:rPr>
                <w:sz w:val="17"/>
                <w:szCs w:val="17"/>
              </w:rPr>
              <w:t xml:space="preserve"> due to</w:t>
            </w:r>
            <w:r w:rsidRPr="00166D67">
              <w:rPr>
                <w:sz w:val="17"/>
                <w:szCs w:val="17"/>
              </w:rPr>
              <w:t xml:space="preserve"> a decline in income, he went on to note that 70% of respondents to a CSO survey did not experience a change in net income following the onset of COVID-19, while 80% noted reduced expenditure. This has resulted in a surge in savings. The pandemic payment has also helped to maintain income levels as people remain out of</w:t>
            </w:r>
            <w:r w:rsidR="00785AF2" w:rsidRPr="00166D67">
              <w:rPr>
                <w:sz w:val="17"/>
                <w:szCs w:val="17"/>
              </w:rPr>
              <w:t xml:space="preserve"> work. Governor </w:t>
            </w:r>
            <w:proofErr w:type="spellStart"/>
            <w:r w:rsidR="00785AF2" w:rsidRPr="00166D67">
              <w:rPr>
                <w:sz w:val="17"/>
                <w:szCs w:val="17"/>
              </w:rPr>
              <w:t>Mak</w:t>
            </w:r>
            <w:r w:rsidR="00484D1A" w:rsidRPr="00166D67">
              <w:rPr>
                <w:sz w:val="17"/>
                <w:szCs w:val="17"/>
              </w:rPr>
              <w:t>hlouf</w:t>
            </w:r>
            <w:proofErr w:type="spellEnd"/>
            <w:r w:rsidR="00484D1A" w:rsidRPr="00166D67">
              <w:rPr>
                <w:sz w:val="17"/>
                <w:szCs w:val="17"/>
              </w:rPr>
              <w:t xml:space="preserve"> also noted that it is</w:t>
            </w:r>
            <w:r w:rsidR="00785AF2" w:rsidRPr="00166D67">
              <w:rPr>
                <w:sz w:val="17"/>
                <w:szCs w:val="17"/>
              </w:rPr>
              <w:t xml:space="preserve"> important that people spend their </w:t>
            </w:r>
            <w:r w:rsidRPr="00166D67">
              <w:rPr>
                <w:sz w:val="17"/>
                <w:szCs w:val="17"/>
              </w:rPr>
              <w:t>savings</w:t>
            </w:r>
            <w:r w:rsidR="00785AF2" w:rsidRPr="00166D67">
              <w:rPr>
                <w:sz w:val="17"/>
                <w:szCs w:val="17"/>
              </w:rPr>
              <w:t xml:space="preserve"> after the pandemic ends. </w:t>
            </w:r>
          </w:p>
        </w:tc>
      </w:tr>
      <w:tr w:rsidR="00307BBC" w:rsidRPr="00166D67" w14:paraId="6B5111A2" w14:textId="77777777" w:rsidTr="001701F9">
        <w:trPr>
          <w:cantSplit/>
        </w:trPr>
        <w:tc>
          <w:tcPr>
            <w:tcW w:w="1097" w:type="dxa"/>
            <w:shd w:val="clear" w:color="auto" w:fill="FFFFFF" w:themeFill="background1"/>
          </w:tcPr>
          <w:p w14:paraId="61913E0F" w14:textId="1603A94F" w:rsidR="00307BBC" w:rsidRPr="007F1827" w:rsidRDefault="00307BBC" w:rsidP="0059185F">
            <w:pPr>
              <w:jc w:val="left"/>
              <w:rPr>
                <w:b/>
                <w:sz w:val="17"/>
                <w:szCs w:val="17"/>
              </w:rPr>
            </w:pPr>
            <w:r w:rsidRPr="007F1827">
              <w:rPr>
                <w:b/>
                <w:sz w:val="17"/>
                <w:szCs w:val="17"/>
              </w:rPr>
              <w:t>5 August 2020</w:t>
            </w:r>
          </w:p>
        </w:tc>
        <w:tc>
          <w:tcPr>
            <w:tcW w:w="1880" w:type="dxa"/>
            <w:shd w:val="clear" w:color="auto" w:fill="FFFFFF" w:themeFill="background1"/>
          </w:tcPr>
          <w:p w14:paraId="1C06C14F" w14:textId="44E9FC5B" w:rsidR="00307BBC" w:rsidRPr="00166D67" w:rsidRDefault="00A324C3" w:rsidP="0059185F">
            <w:pPr>
              <w:jc w:val="left"/>
              <w:rPr>
                <w:sz w:val="17"/>
                <w:szCs w:val="17"/>
              </w:rPr>
            </w:pPr>
            <w:hyperlink r:id="rId63" w:anchor="Can-MIFID-investment-firms-continue-to-pay-distributions-and-variable-remuneration-in-the-current-circumstances-eb43d755-9b3d-4344-bf94-4b3ebf756296" w:history="1">
              <w:r w:rsidR="003F3B82" w:rsidRPr="00166D67">
                <w:rPr>
                  <w:rFonts w:eastAsiaTheme="minorHAnsi"/>
                  <w:color w:val="2CD5C4" w:themeColor="accent1"/>
                  <w:sz w:val="17"/>
                  <w:szCs w:val="17"/>
                  <w:u w:val="single"/>
                </w:rPr>
                <w:t>FAQ for regulated firms: Can MiFID investment firms continue to pay distributions and variable remuneration in the current circumstances?</w:t>
              </w:r>
            </w:hyperlink>
          </w:p>
        </w:tc>
        <w:tc>
          <w:tcPr>
            <w:tcW w:w="1819" w:type="dxa"/>
            <w:shd w:val="clear" w:color="auto" w:fill="FFFFFF" w:themeFill="background1"/>
          </w:tcPr>
          <w:p w14:paraId="4A32B0D7" w14:textId="77777777" w:rsidR="00307BBC" w:rsidRPr="00166D67" w:rsidRDefault="00307BBC" w:rsidP="0059185F">
            <w:pPr>
              <w:jc w:val="left"/>
              <w:rPr>
                <w:color w:val="FF0000"/>
                <w:sz w:val="17"/>
                <w:szCs w:val="17"/>
              </w:rPr>
            </w:pPr>
          </w:p>
        </w:tc>
        <w:tc>
          <w:tcPr>
            <w:tcW w:w="2155" w:type="dxa"/>
            <w:shd w:val="clear" w:color="auto" w:fill="FFFFFF" w:themeFill="background1"/>
          </w:tcPr>
          <w:p w14:paraId="15B70A57" w14:textId="2BC7FB64" w:rsidR="00307BBC" w:rsidRPr="00166D67" w:rsidRDefault="00307BBC" w:rsidP="0059185F">
            <w:pPr>
              <w:jc w:val="left"/>
              <w:rPr>
                <w:sz w:val="17"/>
                <w:szCs w:val="17"/>
              </w:rPr>
            </w:pPr>
            <w:r w:rsidRPr="00166D67">
              <w:rPr>
                <w:sz w:val="17"/>
                <w:szCs w:val="17"/>
              </w:rPr>
              <w:t>MiFID Investment Firms</w:t>
            </w:r>
          </w:p>
        </w:tc>
        <w:tc>
          <w:tcPr>
            <w:tcW w:w="5523" w:type="dxa"/>
            <w:shd w:val="clear" w:color="auto" w:fill="FFFFFF" w:themeFill="background1"/>
          </w:tcPr>
          <w:p w14:paraId="3203F7C2" w14:textId="4A9B16E2" w:rsidR="00307BBC" w:rsidRPr="00166D67" w:rsidRDefault="00307BBC" w:rsidP="0059185F">
            <w:pPr>
              <w:jc w:val="left"/>
              <w:rPr>
                <w:sz w:val="17"/>
                <w:szCs w:val="17"/>
              </w:rPr>
            </w:pPr>
            <w:r w:rsidRPr="00166D67">
              <w:rPr>
                <w:sz w:val="17"/>
                <w:szCs w:val="17"/>
              </w:rPr>
              <w:t>The CBI</w:t>
            </w:r>
            <w:r w:rsidR="00DE5B2D" w:rsidRPr="00166D67">
              <w:rPr>
                <w:sz w:val="17"/>
                <w:szCs w:val="17"/>
              </w:rPr>
              <w:t xml:space="preserve"> has </w:t>
            </w:r>
            <w:r w:rsidRPr="00166D67">
              <w:rPr>
                <w:sz w:val="17"/>
                <w:szCs w:val="17"/>
              </w:rPr>
              <w:t xml:space="preserve">updated its COVID-19 Q&amp;A for regulated financial service providers, </w:t>
            </w:r>
            <w:r w:rsidR="00DE5B2D" w:rsidRPr="00166D67">
              <w:rPr>
                <w:sz w:val="17"/>
                <w:szCs w:val="17"/>
              </w:rPr>
              <w:t xml:space="preserve">with a focus on </w:t>
            </w:r>
            <w:r w:rsidRPr="00166D67">
              <w:rPr>
                <w:sz w:val="17"/>
                <w:szCs w:val="17"/>
              </w:rPr>
              <w:t>MiFID investment firms (</w:t>
            </w:r>
            <w:r w:rsidRPr="00166D67">
              <w:rPr>
                <w:b/>
                <w:sz w:val="17"/>
                <w:szCs w:val="17"/>
              </w:rPr>
              <w:t>MiFID Firms</w:t>
            </w:r>
            <w:r w:rsidRPr="00166D67">
              <w:rPr>
                <w:sz w:val="17"/>
                <w:szCs w:val="17"/>
              </w:rPr>
              <w:t>). The CBI noted that t</w:t>
            </w:r>
            <w:r w:rsidR="00785AF2" w:rsidRPr="00166D67">
              <w:rPr>
                <w:sz w:val="17"/>
                <w:szCs w:val="17"/>
              </w:rPr>
              <w:t>he impact of COVID-19 on MiFID F</w:t>
            </w:r>
            <w:r w:rsidRPr="00166D67">
              <w:rPr>
                <w:sz w:val="17"/>
                <w:szCs w:val="17"/>
              </w:rPr>
              <w:t xml:space="preserve">irms is uncertain and that such </w:t>
            </w:r>
            <w:r w:rsidR="00785AF2" w:rsidRPr="00166D67">
              <w:rPr>
                <w:sz w:val="17"/>
                <w:szCs w:val="17"/>
              </w:rPr>
              <w:t>f</w:t>
            </w:r>
            <w:r w:rsidRPr="00166D67">
              <w:rPr>
                <w:sz w:val="17"/>
                <w:szCs w:val="17"/>
              </w:rPr>
              <w:t xml:space="preserve">irms should exercise a high degree of caution when considering making any distributions on dividends, or giving irrevocable consent to making dividend distributions or buying back shares. </w:t>
            </w:r>
          </w:p>
          <w:p w14:paraId="2A14641A" w14:textId="5D448B71" w:rsidR="00307BBC" w:rsidRPr="00166D67" w:rsidRDefault="00307BBC" w:rsidP="0059185F">
            <w:pPr>
              <w:pStyle w:val="BodyALG"/>
              <w:jc w:val="left"/>
              <w:rPr>
                <w:sz w:val="17"/>
                <w:szCs w:val="17"/>
              </w:rPr>
            </w:pPr>
            <w:r w:rsidRPr="00166D67">
              <w:rPr>
                <w:sz w:val="17"/>
                <w:szCs w:val="17"/>
              </w:rPr>
              <w:t>MiFID Firms should be highly certain of their forecasts of costs and projected revenues should they wish to make a distribution, and should engage with the CBI before proceeding. MiFID Firms should take the same approach in relation to variable remuneration policies if they are subject to CRR/CRD IV. The CBI referred to the ESRB recommendation on distributions on 27 May 2020, and to the fact that MiFID Firms are "medium-high" on the CBI's PRISM risk assessment system, meaning they should exercise strong restraint from making any distributions until 1 January 2021.</w:t>
            </w:r>
          </w:p>
        </w:tc>
      </w:tr>
      <w:tr w:rsidR="00E4565C" w:rsidRPr="00166D67" w14:paraId="4F67B609" w14:textId="77777777" w:rsidTr="001701F9">
        <w:trPr>
          <w:cantSplit/>
        </w:trPr>
        <w:tc>
          <w:tcPr>
            <w:tcW w:w="1097" w:type="dxa"/>
            <w:shd w:val="clear" w:color="auto" w:fill="FFFFFF" w:themeFill="background1"/>
          </w:tcPr>
          <w:p w14:paraId="4E2005B6" w14:textId="309A6D26" w:rsidR="00E4565C" w:rsidRPr="007F1827" w:rsidRDefault="00E4565C" w:rsidP="0059185F">
            <w:pPr>
              <w:jc w:val="left"/>
              <w:rPr>
                <w:b/>
                <w:sz w:val="17"/>
                <w:szCs w:val="17"/>
              </w:rPr>
            </w:pPr>
            <w:r w:rsidRPr="007F1827">
              <w:rPr>
                <w:b/>
                <w:sz w:val="17"/>
                <w:szCs w:val="17"/>
              </w:rPr>
              <w:t>5 August 2020</w:t>
            </w:r>
          </w:p>
        </w:tc>
        <w:tc>
          <w:tcPr>
            <w:tcW w:w="1880" w:type="dxa"/>
            <w:shd w:val="clear" w:color="auto" w:fill="FFFFFF" w:themeFill="background1"/>
          </w:tcPr>
          <w:p w14:paraId="3D87EBB6" w14:textId="72E6668A" w:rsidR="00E4565C" w:rsidRPr="00166D67" w:rsidRDefault="00A324C3" w:rsidP="0059185F">
            <w:pPr>
              <w:jc w:val="left"/>
              <w:rPr>
                <w:sz w:val="17"/>
                <w:szCs w:val="17"/>
              </w:rPr>
            </w:pPr>
            <w:hyperlink r:id="rId64" w:anchor="Can-Insurance-firms-continue-to-make-dividend-distributions-or-create-obligations-to-pay-variable-remuneration-in-the-current-circumstances-71c4d49d-f687-4a87-b982-8c1e43af297b" w:history="1">
              <w:r w:rsidR="00E4565C" w:rsidRPr="00166D67">
                <w:rPr>
                  <w:rStyle w:val="Hyperlink"/>
                  <w:sz w:val="17"/>
                  <w:szCs w:val="17"/>
                </w:rPr>
                <w:t>FAQ for regulated firms: Can insurance firms continue to make dividend distributions or create obligations to pay variable remuneration in the cur</w:t>
              </w:r>
              <w:r w:rsidR="004C1EBD" w:rsidRPr="00166D67">
                <w:rPr>
                  <w:rStyle w:val="Hyperlink"/>
                  <w:sz w:val="17"/>
                  <w:szCs w:val="17"/>
                </w:rPr>
                <w:t>r</w:t>
              </w:r>
              <w:r w:rsidR="00E4565C" w:rsidRPr="00166D67">
                <w:rPr>
                  <w:rStyle w:val="Hyperlink"/>
                  <w:sz w:val="17"/>
                  <w:szCs w:val="17"/>
                </w:rPr>
                <w:t>ent circumstances?</w:t>
              </w:r>
            </w:hyperlink>
          </w:p>
        </w:tc>
        <w:tc>
          <w:tcPr>
            <w:tcW w:w="1819" w:type="dxa"/>
            <w:shd w:val="clear" w:color="auto" w:fill="FFFFFF" w:themeFill="background1"/>
          </w:tcPr>
          <w:p w14:paraId="226A81BB" w14:textId="77777777" w:rsidR="00E4565C" w:rsidRPr="00166D67" w:rsidRDefault="00E4565C" w:rsidP="0059185F">
            <w:pPr>
              <w:jc w:val="left"/>
              <w:rPr>
                <w:color w:val="FF0000"/>
                <w:sz w:val="17"/>
                <w:szCs w:val="17"/>
              </w:rPr>
            </w:pPr>
          </w:p>
        </w:tc>
        <w:tc>
          <w:tcPr>
            <w:tcW w:w="2155" w:type="dxa"/>
            <w:shd w:val="clear" w:color="auto" w:fill="FFFFFF" w:themeFill="background1"/>
          </w:tcPr>
          <w:p w14:paraId="6AFFA9E3" w14:textId="1A2DAEA3" w:rsidR="00E4565C" w:rsidRPr="00166D67" w:rsidRDefault="00E4565C" w:rsidP="0059185F">
            <w:pPr>
              <w:jc w:val="left"/>
              <w:rPr>
                <w:sz w:val="17"/>
                <w:szCs w:val="17"/>
              </w:rPr>
            </w:pPr>
            <w:r w:rsidRPr="00166D67">
              <w:rPr>
                <w:sz w:val="17"/>
                <w:szCs w:val="17"/>
              </w:rPr>
              <w:t>Insurance Firms</w:t>
            </w:r>
          </w:p>
        </w:tc>
        <w:tc>
          <w:tcPr>
            <w:tcW w:w="5523" w:type="dxa"/>
            <w:shd w:val="clear" w:color="auto" w:fill="FFFFFF" w:themeFill="background1"/>
          </w:tcPr>
          <w:p w14:paraId="1327F939" w14:textId="06A81791" w:rsidR="00AF3475" w:rsidRPr="00166D67" w:rsidRDefault="00E4565C" w:rsidP="0059185F">
            <w:pPr>
              <w:jc w:val="left"/>
              <w:rPr>
                <w:sz w:val="17"/>
                <w:szCs w:val="17"/>
              </w:rPr>
            </w:pPr>
            <w:r w:rsidRPr="00166D67">
              <w:rPr>
                <w:sz w:val="17"/>
                <w:szCs w:val="17"/>
              </w:rPr>
              <w:t xml:space="preserve">Following the recommendations of EIOPA and ESRB, </w:t>
            </w:r>
            <w:r w:rsidR="00D672E4" w:rsidRPr="00166D67">
              <w:rPr>
                <w:sz w:val="17"/>
                <w:szCs w:val="17"/>
              </w:rPr>
              <w:t>t</w:t>
            </w:r>
            <w:r w:rsidRPr="00166D67">
              <w:rPr>
                <w:sz w:val="17"/>
                <w:szCs w:val="17"/>
              </w:rPr>
              <w:t xml:space="preserve">he CBI has </w:t>
            </w:r>
            <w:r w:rsidR="00AF3475" w:rsidRPr="00166D67">
              <w:rPr>
                <w:sz w:val="17"/>
                <w:szCs w:val="17"/>
              </w:rPr>
              <w:t>advised</w:t>
            </w:r>
            <w:r w:rsidR="00D672E4" w:rsidRPr="00166D67">
              <w:rPr>
                <w:sz w:val="17"/>
                <w:szCs w:val="17"/>
              </w:rPr>
              <w:t xml:space="preserve"> in light of </w:t>
            </w:r>
            <w:r w:rsidRPr="00166D67">
              <w:rPr>
                <w:sz w:val="17"/>
                <w:szCs w:val="17"/>
              </w:rPr>
              <w:t>uncertainty due to COVID-19, insurance firms should not pay out any dividend distributions</w:t>
            </w:r>
            <w:r w:rsidR="009C2624" w:rsidRPr="00166D67">
              <w:rPr>
                <w:sz w:val="17"/>
                <w:szCs w:val="17"/>
              </w:rPr>
              <w:t xml:space="preserve"> </w:t>
            </w:r>
            <w:r w:rsidR="007F3A7A" w:rsidRPr="00166D67">
              <w:rPr>
                <w:sz w:val="17"/>
                <w:szCs w:val="17"/>
              </w:rPr>
              <w:t>until they become more certain of their liquidi</w:t>
            </w:r>
            <w:r w:rsidR="00AF3475" w:rsidRPr="00166D67">
              <w:rPr>
                <w:sz w:val="17"/>
                <w:szCs w:val="17"/>
              </w:rPr>
              <w:t xml:space="preserve">ty and solvency positions. </w:t>
            </w:r>
          </w:p>
          <w:p w14:paraId="6C479177" w14:textId="0F9CD940" w:rsidR="00AF3475" w:rsidRPr="00166D67" w:rsidRDefault="00AF3475" w:rsidP="0059185F">
            <w:pPr>
              <w:jc w:val="left"/>
              <w:rPr>
                <w:sz w:val="17"/>
                <w:szCs w:val="17"/>
              </w:rPr>
            </w:pPr>
            <w:r w:rsidRPr="00166D67">
              <w:rPr>
                <w:sz w:val="17"/>
                <w:szCs w:val="17"/>
              </w:rPr>
              <w:t>Any i</w:t>
            </w:r>
            <w:r w:rsidR="00F866BD" w:rsidRPr="00166D67">
              <w:rPr>
                <w:sz w:val="17"/>
                <w:szCs w:val="17"/>
              </w:rPr>
              <w:t>nsurance firm</w:t>
            </w:r>
            <w:r w:rsidRPr="00166D67">
              <w:rPr>
                <w:sz w:val="17"/>
                <w:szCs w:val="17"/>
              </w:rPr>
              <w:t xml:space="preserve"> whose board wishes to make a dividend distribution payment must</w:t>
            </w:r>
            <w:r w:rsidR="007F3A7A" w:rsidRPr="00166D67">
              <w:rPr>
                <w:sz w:val="17"/>
                <w:szCs w:val="17"/>
              </w:rPr>
              <w:t xml:space="preserve"> be </w:t>
            </w:r>
            <w:r w:rsidR="00F866BD" w:rsidRPr="00166D67">
              <w:rPr>
                <w:sz w:val="17"/>
                <w:szCs w:val="17"/>
              </w:rPr>
              <w:t>able to forecast its</w:t>
            </w:r>
            <w:r w:rsidR="007F3A7A" w:rsidRPr="00166D67">
              <w:rPr>
                <w:sz w:val="17"/>
                <w:szCs w:val="17"/>
              </w:rPr>
              <w:t xml:space="preserve"> future revenues and costs with a high degree of certainty</w:t>
            </w:r>
            <w:r w:rsidR="00F866BD" w:rsidRPr="00166D67">
              <w:rPr>
                <w:sz w:val="17"/>
                <w:szCs w:val="17"/>
              </w:rPr>
              <w:t>.</w:t>
            </w:r>
            <w:r w:rsidR="007F3A7A" w:rsidRPr="00166D67">
              <w:rPr>
                <w:sz w:val="17"/>
                <w:szCs w:val="17"/>
              </w:rPr>
              <w:t xml:space="preserve"> </w:t>
            </w:r>
            <w:r w:rsidRPr="00166D67">
              <w:rPr>
                <w:sz w:val="17"/>
                <w:szCs w:val="17"/>
              </w:rPr>
              <w:t xml:space="preserve">Once the board has decided to </w:t>
            </w:r>
            <w:r w:rsidR="00F866BD" w:rsidRPr="00166D67">
              <w:rPr>
                <w:sz w:val="17"/>
                <w:szCs w:val="17"/>
              </w:rPr>
              <w:t>make a dividend distribution,</w:t>
            </w:r>
            <w:r w:rsidRPr="00166D67">
              <w:rPr>
                <w:sz w:val="17"/>
                <w:szCs w:val="17"/>
              </w:rPr>
              <w:t xml:space="preserve"> the insurance firm should </w:t>
            </w:r>
            <w:r w:rsidR="00F866BD" w:rsidRPr="00166D67">
              <w:rPr>
                <w:sz w:val="17"/>
                <w:szCs w:val="17"/>
              </w:rPr>
              <w:t>engage with</w:t>
            </w:r>
            <w:r w:rsidR="001973D5" w:rsidRPr="00166D67">
              <w:rPr>
                <w:sz w:val="17"/>
                <w:szCs w:val="17"/>
              </w:rPr>
              <w:t xml:space="preserve"> the CBI's su</w:t>
            </w:r>
            <w:r w:rsidRPr="00166D67">
              <w:rPr>
                <w:sz w:val="17"/>
                <w:szCs w:val="17"/>
              </w:rPr>
              <w:t>pervision team</w:t>
            </w:r>
            <w:r w:rsidR="00F866BD" w:rsidRPr="00166D67">
              <w:rPr>
                <w:sz w:val="17"/>
                <w:szCs w:val="17"/>
              </w:rPr>
              <w:t xml:space="preserve"> before proceeding</w:t>
            </w:r>
            <w:r w:rsidRPr="00166D67">
              <w:rPr>
                <w:sz w:val="17"/>
                <w:szCs w:val="17"/>
              </w:rPr>
              <w:t>. The</w:t>
            </w:r>
            <w:r w:rsidR="00F866BD" w:rsidRPr="00166D67">
              <w:rPr>
                <w:sz w:val="17"/>
                <w:szCs w:val="17"/>
              </w:rPr>
              <w:t xml:space="preserve"> insurance firm must</w:t>
            </w:r>
            <w:r w:rsidRPr="00166D67">
              <w:rPr>
                <w:sz w:val="17"/>
                <w:szCs w:val="17"/>
              </w:rPr>
              <w:t xml:space="preserve"> be able to</w:t>
            </w:r>
            <w:r w:rsidR="001973D5" w:rsidRPr="00166D67">
              <w:rPr>
                <w:sz w:val="17"/>
                <w:szCs w:val="17"/>
              </w:rPr>
              <w:t xml:space="preserve"> demonstrate</w:t>
            </w:r>
            <w:r w:rsidR="00F866BD" w:rsidRPr="00166D67">
              <w:rPr>
                <w:sz w:val="17"/>
                <w:szCs w:val="17"/>
              </w:rPr>
              <w:t xml:space="preserve"> present and future</w:t>
            </w:r>
            <w:r w:rsidR="001973D5" w:rsidRPr="00166D67">
              <w:rPr>
                <w:sz w:val="17"/>
                <w:szCs w:val="17"/>
              </w:rPr>
              <w:t xml:space="preserve"> financ</w:t>
            </w:r>
            <w:r w:rsidRPr="00166D67">
              <w:rPr>
                <w:sz w:val="17"/>
                <w:szCs w:val="17"/>
              </w:rPr>
              <w:t>ial and operational resilience to the CBI</w:t>
            </w:r>
            <w:r w:rsidR="00F866BD" w:rsidRPr="00166D67">
              <w:rPr>
                <w:sz w:val="17"/>
                <w:szCs w:val="17"/>
              </w:rPr>
              <w:t xml:space="preserve"> in order to proceed.</w:t>
            </w:r>
          </w:p>
          <w:p w14:paraId="6D256A30" w14:textId="70579DA4" w:rsidR="00E4565C" w:rsidRPr="00166D67" w:rsidRDefault="00E4565C" w:rsidP="0059185F">
            <w:pPr>
              <w:jc w:val="left"/>
              <w:rPr>
                <w:sz w:val="17"/>
                <w:szCs w:val="17"/>
              </w:rPr>
            </w:pPr>
            <w:r w:rsidRPr="00166D67">
              <w:rPr>
                <w:sz w:val="17"/>
                <w:szCs w:val="17"/>
              </w:rPr>
              <w:t>Insurance firms should also be prudent in relation to remuneration policies and consider if payment postponement is appropriate.</w:t>
            </w:r>
          </w:p>
        </w:tc>
      </w:tr>
      <w:tr w:rsidR="001B1561" w:rsidRPr="00166D67" w14:paraId="2205A9BD" w14:textId="77777777" w:rsidTr="001701F9">
        <w:trPr>
          <w:cantSplit/>
        </w:trPr>
        <w:tc>
          <w:tcPr>
            <w:tcW w:w="1097" w:type="dxa"/>
            <w:shd w:val="clear" w:color="auto" w:fill="FFFFFF" w:themeFill="background1"/>
          </w:tcPr>
          <w:p w14:paraId="68490236" w14:textId="32D00A58" w:rsidR="001B1561" w:rsidRPr="007F1827" w:rsidRDefault="001B1561" w:rsidP="0059185F">
            <w:pPr>
              <w:jc w:val="left"/>
              <w:rPr>
                <w:b/>
                <w:sz w:val="17"/>
                <w:szCs w:val="17"/>
              </w:rPr>
            </w:pPr>
            <w:r w:rsidRPr="007F1827">
              <w:rPr>
                <w:b/>
                <w:sz w:val="17"/>
                <w:szCs w:val="17"/>
              </w:rPr>
              <w:t>5 August 2020</w:t>
            </w:r>
          </w:p>
        </w:tc>
        <w:tc>
          <w:tcPr>
            <w:tcW w:w="1880" w:type="dxa"/>
            <w:shd w:val="clear" w:color="auto" w:fill="FFFFFF" w:themeFill="background1"/>
          </w:tcPr>
          <w:p w14:paraId="53E6B173" w14:textId="47D46C22" w:rsidR="001B1561" w:rsidRPr="00166D67" w:rsidRDefault="00A324C3" w:rsidP="0059185F">
            <w:pPr>
              <w:jc w:val="left"/>
              <w:rPr>
                <w:sz w:val="17"/>
                <w:szCs w:val="17"/>
              </w:rPr>
            </w:pPr>
            <w:hyperlink r:id="rId65" w:history="1">
              <w:r w:rsidR="001B1561" w:rsidRPr="00166D67">
                <w:rPr>
                  <w:rStyle w:val="Hyperlink"/>
                  <w:sz w:val="17"/>
                  <w:szCs w:val="17"/>
                </w:rPr>
                <w:t>Central Bank publishes Business Interruption Insurance Supervisory Framework</w:t>
              </w:r>
            </w:hyperlink>
          </w:p>
        </w:tc>
        <w:tc>
          <w:tcPr>
            <w:tcW w:w="1819" w:type="dxa"/>
            <w:shd w:val="clear" w:color="auto" w:fill="FFFFFF" w:themeFill="background1"/>
          </w:tcPr>
          <w:p w14:paraId="54326ED4" w14:textId="691E4B25" w:rsidR="001B1561" w:rsidRPr="00166D67" w:rsidRDefault="00A324C3" w:rsidP="0059185F">
            <w:pPr>
              <w:jc w:val="left"/>
              <w:rPr>
                <w:color w:val="FF0000"/>
                <w:sz w:val="17"/>
                <w:szCs w:val="17"/>
              </w:rPr>
            </w:pPr>
            <w:hyperlink r:id="rId66" w:history="1">
              <w:r w:rsidR="00CD2B15" w:rsidRPr="00166D67">
                <w:rPr>
                  <w:rStyle w:val="Hyperlink"/>
                  <w:sz w:val="17"/>
                  <w:szCs w:val="17"/>
                </w:rPr>
                <w:t>COVID-19: Analysis of CBI Business Interruption Insurance Supervisory Framework</w:t>
              </w:r>
            </w:hyperlink>
            <w:r w:rsidR="00CD2B15" w:rsidRPr="00166D67">
              <w:rPr>
                <w:color w:val="FF0000"/>
                <w:sz w:val="17"/>
                <w:szCs w:val="17"/>
              </w:rPr>
              <w:t xml:space="preserve"> </w:t>
            </w:r>
          </w:p>
        </w:tc>
        <w:tc>
          <w:tcPr>
            <w:tcW w:w="2155" w:type="dxa"/>
            <w:shd w:val="clear" w:color="auto" w:fill="FFFFFF" w:themeFill="background1"/>
          </w:tcPr>
          <w:p w14:paraId="2DD2A3FE" w14:textId="503A619C" w:rsidR="001B1561" w:rsidRPr="00166D67" w:rsidRDefault="00E4565C" w:rsidP="0059185F">
            <w:pPr>
              <w:jc w:val="left"/>
              <w:rPr>
                <w:sz w:val="17"/>
                <w:szCs w:val="17"/>
              </w:rPr>
            </w:pPr>
            <w:r w:rsidRPr="00166D67">
              <w:rPr>
                <w:sz w:val="17"/>
                <w:szCs w:val="17"/>
              </w:rPr>
              <w:t>Insurance Firms</w:t>
            </w:r>
          </w:p>
        </w:tc>
        <w:tc>
          <w:tcPr>
            <w:tcW w:w="5523" w:type="dxa"/>
            <w:shd w:val="clear" w:color="auto" w:fill="FFFFFF" w:themeFill="background1"/>
          </w:tcPr>
          <w:p w14:paraId="04EA0D1C" w14:textId="26B98799" w:rsidR="001B1561" w:rsidRPr="00166D67" w:rsidRDefault="001B1561" w:rsidP="0059185F">
            <w:pPr>
              <w:jc w:val="left"/>
              <w:rPr>
                <w:sz w:val="17"/>
                <w:szCs w:val="17"/>
              </w:rPr>
            </w:pPr>
            <w:r w:rsidRPr="00166D67">
              <w:rPr>
                <w:sz w:val="17"/>
                <w:szCs w:val="17"/>
              </w:rPr>
              <w:t xml:space="preserve">The CBI published its </w:t>
            </w:r>
            <w:hyperlink r:id="rId67" w:history="1">
              <w:r w:rsidRPr="00166D67">
                <w:rPr>
                  <w:rStyle w:val="Hyperlink"/>
                  <w:color w:val="2CD5C4" w:themeColor="accent1"/>
                  <w:sz w:val="17"/>
                  <w:szCs w:val="17"/>
                </w:rPr>
                <w:t>COVID-19 and Business Interruption Insurance Supervisory Framework</w:t>
              </w:r>
            </w:hyperlink>
            <w:r w:rsidRPr="00166D67">
              <w:rPr>
                <w:color w:val="2CD5C4" w:themeColor="accent1"/>
                <w:sz w:val="17"/>
                <w:szCs w:val="17"/>
              </w:rPr>
              <w:t xml:space="preserve">, </w:t>
            </w:r>
            <w:r w:rsidRPr="00166D67">
              <w:rPr>
                <w:sz w:val="17"/>
                <w:szCs w:val="17"/>
              </w:rPr>
              <w:t>which aims to promptly resolve issues that have the potential to cause customer harm, driving clarity for affected businesses as quickly as possible. The Framework sets out the CBI's approach to flagging any systemic issues of customer harm, expectations of the CBI from insurers with regards the handling of these issues and a means of escalation for intervention when the CBI needs to do so. The CBI expects insurers to pay out on business interruption policies promptly and fully</w:t>
            </w:r>
            <w:r w:rsidR="002057FE" w:rsidRPr="00166D67">
              <w:rPr>
                <w:sz w:val="17"/>
                <w:szCs w:val="17"/>
              </w:rPr>
              <w:t xml:space="preserve">, and insurers should pay the reasonable costs of consumer plaintiffs in test case litigation. </w:t>
            </w:r>
          </w:p>
        </w:tc>
      </w:tr>
      <w:tr w:rsidR="00AE7319" w:rsidRPr="00166D67" w14:paraId="6E31C161" w14:textId="77777777" w:rsidTr="001701F9">
        <w:trPr>
          <w:cantSplit/>
        </w:trPr>
        <w:tc>
          <w:tcPr>
            <w:tcW w:w="1097" w:type="dxa"/>
            <w:shd w:val="clear" w:color="auto" w:fill="FFFFFF" w:themeFill="background1"/>
          </w:tcPr>
          <w:p w14:paraId="1199CFE6" w14:textId="6E8913C4" w:rsidR="00AE7319" w:rsidRPr="007F1827" w:rsidRDefault="00AE7319" w:rsidP="0059185F">
            <w:pPr>
              <w:jc w:val="left"/>
              <w:rPr>
                <w:b/>
                <w:sz w:val="17"/>
                <w:szCs w:val="17"/>
              </w:rPr>
            </w:pPr>
            <w:r w:rsidRPr="007F1827">
              <w:rPr>
                <w:b/>
                <w:sz w:val="17"/>
                <w:szCs w:val="17"/>
              </w:rPr>
              <w:t>11 August 2020</w:t>
            </w:r>
          </w:p>
        </w:tc>
        <w:tc>
          <w:tcPr>
            <w:tcW w:w="1880" w:type="dxa"/>
            <w:shd w:val="clear" w:color="auto" w:fill="FFFFFF" w:themeFill="background1"/>
          </w:tcPr>
          <w:p w14:paraId="54C963F3" w14:textId="74E756AB" w:rsidR="00AE7319" w:rsidRPr="00166D67" w:rsidRDefault="00A324C3" w:rsidP="0059185F">
            <w:pPr>
              <w:jc w:val="left"/>
              <w:rPr>
                <w:sz w:val="17"/>
                <w:szCs w:val="17"/>
              </w:rPr>
            </w:pPr>
            <w:hyperlink r:id="rId68" w:anchor="Can-credit-institutions-continue-to-pay-distributions-and-variable-remuneration-in-the-current-circumstances-eb5a880e-461c-4d02-9396-ab73c96fbf4e" w:history="1">
              <w:r w:rsidR="00AE7319" w:rsidRPr="00166D67">
                <w:rPr>
                  <w:rStyle w:val="Hyperlink"/>
                  <w:sz w:val="17"/>
                  <w:szCs w:val="17"/>
                </w:rPr>
                <w:t>FAQ for regulated firms: Can credit institutions continue to pay distributions and variable remuneration in the current circumstances?</w:t>
              </w:r>
            </w:hyperlink>
          </w:p>
        </w:tc>
        <w:tc>
          <w:tcPr>
            <w:tcW w:w="1819" w:type="dxa"/>
            <w:shd w:val="clear" w:color="auto" w:fill="FFFFFF" w:themeFill="background1"/>
          </w:tcPr>
          <w:p w14:paraId="4D0C405C" w14:textId="77777777" w:rsidR="00AE7319" w:rsidRPr="00166D67" w:rsidRDefault="00AE7319" w:rsidP="0059185F">
            <w:pPr>
              <w:jc w:val="left"/>
              <w:rPr>
                <w:color w:val="FF0000"/>
                <w:sz w:val="17"/>
                <w:szCs w:val="17"/>
              </w:rPr>
            </w:pPr>
          </w:p>
        </w:tc>
        <w:tc>
          <w:tcPr>
            <w:tcW w:w="2155" w:type="dxa"/>
            <w:shd w:val="clear" w:color="auto" w:fill="FFFFFF" w:themeFill="background1"/>
          </w:tcPr>
          <w:p w14:paraId="6A0DF684" w14:textId="4B2D53AE" w:rsidR="00AE7319" w:rsidRPr="00166D67" w:rsidRDefault="00E4565C" w:rsidP="0059185F">
            <w:pPr>
              <w:jc w:val="left"/>
              <w:rPr>
                <w:sz w:val="17"/>
                <w:szCs w:val="17"/>
              </w:rPr>
            </w:pPr>
            <w:r w:rsidRPr="00166D67">
              <w:rPr>
                <w:sz w:val="17"/>
                <w:szCs w:val="17"/>
              </w:rPr>
              <w:t>Credit Institutions</w:t>
            </w:r>
          </w:p>
        </w:tc>
        <w:tc>
          <w:tcPr>
            <w:tcW w:w="5523" w:type="dxa"/>
            <w:shd w:val="clear" w:color="auto" w:fill="FFFFFF" w:themeFill="background1"/>
          </w:tcPr>
          <w:p w14:paraId="7CC874BC" w14:textId="77777777" w:rsidR="00AE7319" w:rsidRPr="00166D67" w:rsidRDefault="0009624F" w:rsidP="0059185F">
            <w:pPr>
              <w:jc w:val="left"/>
              <w:rPr>
                <w:sz w:val="17"/>
                <w:szCs w:val="17"/>
              </w:rPr>
            </w:pPr>
            <w:r w:rsidRPr="00166D67">
              <w:rPr>
                <w:sz w:val="17"/>
                <w:szCs w:val="17"/>
              </w:rPr>
              <w:t xml:space="preserve">This update to the CBI's FAQ for regulated firms confirms the Irish position as being in line with the ECB's recommendation of 27 July 2020 relating to dividend distributions during the COVID-19 pandemic. Credit institutions should not pay dividends for 2019 and for 2020 until at least 1 January 2021. The same recommendation applies to share buybacks. </w:t>
            </w:r>
          </w:p>
          <w:p w14:paraId="34B711C7" w14:textId="352FD793" w:rsidR="0009624F" w:rsidRPr="00166D67" w:rsidRDefault="0009624F" w:rsidP="0059185F">
            <w:pPr>
              <w:jc w:val="left"/>
              <w:rPr>
                <w:sz w:val="17"/>
                <w:szCs w:val="17"/>
              </w:rPr>
            </w:pPr>
            <w:r w:rsidRPr="00166D67">
              <w:rPr>
                <w:sz w:val="17"/>
                <w:szCs w:val="17"/>
              </w:rPr>
              <w:t>The CBI advises that credit institutions should take a prudent, forward looking stance when deciding on remuneration, in line with ECB communications to significant institutions. This is especially important in relation to variable remuneration payments up to 1 January 2021 for material risk-takers</w:t>
            </w:r>
            <w:r w:rsidR="003F3B82" w:rsidRPr="00166D67">
              <w:rPr>
                <w:sz w:val="17"/>
                <w:szCs w:val="17"/>
              </w:rPr>
              <w:t>.</w:t>
            </w:r>
          </w:p>
        </w:tc>
      </w:tr>
      <w:tr w:rsidR="008D50D4" w:rsidRPr="00166D67" w14:paraId="73DBCC2D" w14:textId="77777777" w:rsidTr="001701F9">
        <w:trPr>
          <w:cantSplit/>
        </w:trPr>
        <w:tc>
          <w:tcPr>
            <w:tcW w:w="1097" w:type="dxa"/>
            <w:shd w:val="clear" w:color="auto" w:fill="auto"/>
          </w:tcPr>
          <w:p w14:paraId="7781BEC3" w14:textId="12F45C1F" w:rsidR="008D50D4" w:rsidRPr="007F1827" w:rsidRDefault="008D50D4" w:rsidP="0059185F">
            <w:pPr>
              <w:jc w:val="left"/>
              <w:rPr>
                <w:b/>
                <w:sz w:val="17"/>
                <w:szCs w:val="17"/>
              </w:rPr>
            </w:pPr>
            <w:r w:rsidRPr="007F1827">
              <w:rPr>
                <w:b/>
                <w:sz w:val="17"/>
                <w:szCs w:val="17"/>
              </w:rPr>
              <w:t>24 August 2020</w:t>
            </w:r>
          </w:p>
        </w:tc>
        <w:tc>
          <w:tcPr>
            <w:tcW w:w="1880" w:type="dxa"/>
            <w:shd w:val="clear" w:color="auto" w:fill="auto"/>
          </w:tcPr>
          <w:p w14:paraId="47802EDC" w14:textId="44EBC5D0" w:rsidR="008D50D4" w:rsidRPr="00166D67" w:rsidRDefault="00A324C3" w:rsidP="0059185F">
            <w:pPr>
              <w:jc w:val="left"/>
              <w:rPr>
                <w:sz w:val="17"/>
                <w:szCs w:val="17"/>
              </w:rPr>
            </w:pPr>
            <w:hyperlink r:id="rId69" w:history="1">
              <w:r w:rsidR="008D50D4" w:rsidRPr="00166D67">
                <w:rPr>
                  <w:rStyle w:val="Hyperlink"/>
                  <w:sz w:val="17"/>
                  <w:szCs w:val="17"/>
                </w:rPr>
                <w:t>Central Bank publishes Statement on the use of Electronic Signatures in Regulatory Documents and Forms</w:t>
              </w:r>
            </w:hyperlink>
          </w:p>
        </w:tc>
        <w:tc>
          <w:tcPr>
            <w:tcW w:w="1819" w:type="dxa"/>
            <w:shd w:val="clear" w:color="auto" w:fill="auto"/>
          </w:tcPr>
          <w:p w14:paraId="1B9276AE" w14:textId="77777777" w:rsidR="008D50D4" w:rsidRPr="00166D67" w:rsidRDefault="008D50D4" w:rsidP="0059185F">
            <w:pPr>
              <w:jc w:val="left"/>
              <w:rPr>
                <w:color w:val="FF0000"/>
                <w:sz w:val="17"/>
                <w:szCs w:val="17"/>
              </w:rPr>
            </w:pPr>
          </w:p>
        </w:tc>
        <w:tc>
          <w:tcPr>
            <w:tcW w:w="2155" w:type="dxa"/>
            <w:shd w:val="clear" w:color="auto" w:fill="auto"/>
          </w:tcPr>
          <w:p w14:paraId="5CDFB2FF" w14:textId="6E123D06" w:rsidR="008D50D4" w:rsidRPr="00166D67" w:rsidRDefault="006D1169" w:rsidP="0059185F">
            <w:pPr>
              <w:jc w:val="left"/>
              <w:rPr>
                <w:sz w:val="17"/>
                <w:szCs w:val="17"/>
              </w:rPr>
            </w:pPr>
            <w:r w:rsidRPr="00166D67">
              <w:rPr>
                <w:sz w:val="17"/>
                <w:szCs w:val="17"/>
              </w:rPr>
              <w:t>All Regulated Financial Services Providers</w:t>
            </w:r>
          </w:p>
        </w:tc>
        <w:tc>
          <w:tcPr>
            <w:tcW w:w="5523" w:type="dxa"/>
            <w:shd w:val="clear" w:color="auto" w:fill="auto"/>
          </w:tcPr>
          <w:p w14:paraId="6B72AFB7" w14:textId="77777777" w:rsidR="00713DF9" w:rsidRPr="00166D67" w:rsidRDefault="006D1169" w:rsidP="0059185F">
            <w:pPr>
              <w:jc w:val="left"/>
              <w:rPr>
                <w:sz w:val="17"/>
                <w:szCs w:val="17"/>
              </w:rPr>
            </w:pPr>
            <w:r w:rsidRPr="00166D67">
              <w:rPr>
                <w:sz w:val="17"/>
                <w:szCs w:val="17"/>
              </w:rPr>
              <w:t xml:space="preserve">The Central Bank confirmed its policy on the use of electronic signatures outlining that, in the absence of any legislation to the contrary, regulated firms may use electronic signatures for regulatory documents and forms submitted to the Central Bank. </w:t>
            </w:r>
            <w:r w:rsidR="00713DF9" w:rsidRPr="00166D67">
              <w:rPr>
                <w:sz w:val="17"/>
                <w:szCs w:val="17"/>
              </w:rPr>
              <w:t xml:space="preserve">Individuals using electronic signatures will be accountable for the content submitted in the same way as if they had used a traditional signature. </w:t>
            </w:r>
          </w:p>
          <w:p w14:paraId="0CE2CCE9" w14:textId="0563C9A7" w:rsidR="008D50D4" w:rsidRPr="00166D67" w:rsidRDefault="00713DF9" w:rsidP="0059185F">
            <w:pPr>
              <w:jc w:val="left"/>
              <w:rPr>
                <w:color w:val="FF0000"/>
                <w:sz w:val="17"/>
                <w:szCs w:val="17"/>
              </w:rPr>
            </w:pPr>
            <w:r w:rsidRPr="00166D67">
              <w:rPr>
                <w:sz w:val="17"/>
                <w:szCs w:val="17"/>
              </w:rPr>
              <w:t>The Central Bank reserves the right to require a wet ink signature where appropriate, and advised that regulated firms should seek their own legal advice on the appropriateness of electronic signatures.</w:t>
            </w:r>
          </w:p>
        </w:tc>
      </w:tr>
      <w:tr w:rsidR="008D50D4" w:rsidRPr="00166D67" w14:paraId="4535845C" w14:textId="77777777" w:rsidTr="001701F9">
        <w:trPr>
          <w:cantSplit/>
        </w:trPr>
        <w:tc>
          <w:tcPr>
            <w:tcW w:w="1097" w:type="dxa"/>
            <w:shd w:val="clear" w:color="auto" w:fill="auto"/>
          </w:tcPr>
          <w:p w14:paraId="073FDB5A" w14:textId="1BDE40E6" w:rsidR="008D50D4" w:rsidRPr="007F1827" w:rsidRDefault="008D50D4" w:rsidP="0059185F">
            <w:pPr>
              <w:jc w:val="left"/>
              <w:rPr>
                <w:b/>
                <w:sz w:val="17"/>
                <w:szCs w:val="17"/>
              </w:rPr>
            </w:pPr>
            <w:r w:rsidRPr="007F1827">
              <w:rPr>
                <w:b/>
                <w:sz w:val="17"/>
                <w:szCs w:val="17"/>
              </w:rPr>
              <w:t>10 September 2020</w:t>
            </w:r>
          </w:p>
        </w:tc>
        <w:tc>
          <w:tcPr>
            <w:tcW w:w="1880" w:type="dxa"/>
            <w:shd w:val="clear" w:color="auto" w:fill="auto"/>
          </w:tcPr>
          <w:p w14:paraId="37CED161" w14:textId="3794A28C" w:rsidR="008D50D4" w:rsidRPr="00166D67" w:rsidRDefault="00A324C3" w:rsidP="0059185F">
            <w:pPr>
              <w:jc w:val="left"/>
              <w:rPr>
                <w:sz w:val="17"/>
                <w:szCs w:val="17"/>
              </w:rPr>
            </w:pPr>
            <w:hyperlink r:id="rId70" w:history="1">
              <w:r w:rsidR="008D50D4" w:rsidRPr="00166D67">
                <w:rPr>
                  <w:rStyle w:val="Hyperlink"/>
                  <w:sz w:val="17"/>
                  <w:szCs w:val="17"/>
                </w:rPr>
                <w:t>Covid-19: How can Policy aid the Recovery?</w:t>
              </w:r>
            </w:hyperlink>
            <w:r w:rsidR="008D50D4" w:rsidRPr="00166D67">
              <w:rPr>
                <w:sz w:val="17"/>
                <w:szCs w:val="17"/>
              </w:rPr>
              <w:t xml:space="preserve"> </w:t>
            </w:r>
          </w:p>
        </w:tc>
        <w:tc>
          <w:tcPr>
            <w:tcW w:w="1819" w:type="dxa"/>
            <w:shd w:val="clear" w:color="auto" w:fill="auto"/>
          </w:tcPr>
          <w:p w14:paraId="14434D3C" w14:textId="77777777" w:rsidR="008D50D4" w:rsidRPr="00166D67" w:rsidRDefault="008D50D4" w:rsidP="0059185F">
            <w:pPr>
              <w:jc w:val="left"/>
              <w:rPr>
                <w:color w:val="FF0000"/>
                <w:sz w:val="17"/>
                <w:szCs w:val="17"/>
              </w:rPr>
            </w:pPr>
          </w:p>
        </w:tc>
        <w:tc>
          <w:tcPr>
            <w:tcW w:w="2155" w:type="dxa"/>
            <w:shd w:val="clear" w:color="auto" w:fill="auto"/>
          </w:tcPr>
          <w:p w14:paraId="74F6A5D9" w14:textId="09E9FCAF" w:rsidR="008D50D4" w:rsidRPr="00166D67" w:rsidRDefault="00713DF9" w:rsidP="0059185F">
            <w:pPr>
              <w:jc w:val="left"/>
              <w:rPr>
                <w:sz w:val="17"/>
                <w:szCs w:val="17"/>
              </w:rPr>
            </w:pPr>
            <w:r w:rsidRPr="00166D67">
              <w:rPr>
                <w:sz w:val="17"/>
                <w:szCs w:val="17"/>
              </w:rPr>
              <w:t>All Regulated Financial Services Providers and Consumers</w:t>
            </w:r>
          </w:p>
        </w:tc>
        <w:tc>
          <w:tcPr>
            <w:tcW w:w="5523" w:type="dxa"/>
            <w:shd w:val="clear" w:color="auto" w:fill="auto"/>
          </w:tcPr>
          <w:p w14:paraId="354578BC" w14:textId="456C612E" w:rsidR="008D50D4" w:rsidRPr="00166D67" w:rsidRDefault="00713DF9" w:rsidP="0059185F">
            <w:pPr>
              <w:jc w:val="left"/>
              <w:rPr>
                <w:color w:val="FF0000"/>
                <w:sz w:val="17"/>
                <w:szCs w:val="17"/>
              </w:rPr>
            </w:pPr>
            <w:r w:rsidRPr="00166D67">
              <w:rPr>
                <w:sz w:val="17"/>
                <w:szCs w:val="17"/>
              </w:rPr>
              <w:t xml:space="preserve">On 10 September 2020, Deputy Governor Sharon </w:t>
            </w:r>
            <w:proofErr w:type="spellStart"/>
            <w:r w:rsidRPr="00166D67">
              <w:rPr>
                <w:sz w:val="17"/>
                <w:szCs w:val="17"/>
              </w:rPr>
              <w:t>Donnery</w:t>
            </w:r>
            <w:proofErr w:type="spellEnd"/>
            <w:r w:rsidRPr="00166D67">
              <w:rPr>
                <w:sz w:val="17"/>
                <w:szCs w:val="17"/>
              </w:rPr>
              <w:t xml:space="preserve"> delivered a speech via </w:t>
            </w:r>
            <w:proofErr w:type="spellStart"/>
            <w:r w:rsidRPr="00166D67">
              <w:rPr>
                <w:sz w:val="17"/>
                <w:szCs w:val="17"/>
              </w:rPr>
              <w:t>videolink</w:t>
            </w:r>
            <w:proofErr w:type="spellEnd"/>
            <w:r w:rsidRPr="00166D67">
              <w:rPr>
                <w:sz w:val="17"/>
                <w:szCs w:val="17"/>
              </w:rPr>
              <w:t xml:space="preserve"> at the Dublin Economics Workshop. During her speech, she outlined recent trends in the Irish economy on the initial effects of the pandemic in areas such as expenditure, employment and taxation. She also discussed the role of policy and provided the Central Bank's responses to same including the various emergency monetary policies put in place and the reduction to the counter cyclical capital buffer from 1% to 0%. </w:t>
            </w:r>
          </w:p>
        </w:tc>
      </w:tr>
      <w:tr w:rsidR="008D50D4" w:rsidRPr="00166D67" w14:paraId="725C0409" w14:textId="77777777" w:rsidTr="001701F9">
        <w:trPr>
          <w:cantSplit/>
        </w:trPr>
        <w:tc>
          <w:tcPr>
            <w:tcW w:w="1097" w:type="dxa"/>
            <w:shd w:val="clear" w:color="auto" w:fill="auto"/>
          </w:tcPr>
          <w:p w14:paraId="3497653F" w14:textId="62B72F3C" w:rsidR="008D50D4" w:rsidRPr="007F1827" w:rsidRDefault="008D50D4" w:rsidP="0059185F">
            <w:pPr>
              <w:jc w:val="left"/>
              <w:rPr>
                <w:b/>
                <w:sz w:val="17"/>
                <w:szCs w:val="17"/>
              </w:rPr>
            </w:pPr>
            <w:r w:rsidRPr="007F1827">
              <w:rPr>
                <w:b/>
                <w:sz w:val="17"/>
                <w:szCs w:val="17"/>
              </w:rPr>
              <w:t>10 September 2020</w:t>
            </w:r>
          </w:p>
        </w:tc>
        <w:tc>
          <w:tcPr>
            <w:tcW w:w="1880" w:type="dxa"/>
            <w:shd w:val="clear" w:color="auto" w:fill="auto"/>
          </w:tcPr>
          <w:p w14:paraId="2F13E925" w14:textId="4323523A" w:rsidR="008D50D4" w:rsidRPr="00166D67" w:rsidRDefault="008D50D4" w:rsidP="0059185F">
            <w:pPr>
              <w:jc w:val="left"/>
              <w:rPr>
                <w:sz w:val="17"/>
                <w:szCs w:val="17"/>
              </w:rPr>
            </w:pPr>
            <w:r w:rsidRPr="00166D67">
              <w:rPr>
                <w:sz w:val="17"/>
                <w:szCs w:val="17"/>
              </w:rPr>
              <w:t xml:space="preserve">COVID-19 Hub: </w:t>
            </w:r>
            <w:hyperlink r:id="rId71" w:history="1">
              <w:r w:rsidRPr="00166D67">
                <w:rPr>
                  <w:rStyle w:val="Hyperlink"/>
                  <w:sz w:val="17"/>
                  <w:szCs w:val="17"/>
                </w:rPr>
                <w:t>COVID-19 Consumer FAQs</w:t>
              </w:r>
            </w:hyperlink>
          </w:p>
        </w:tc>
        <w:tc>
          <w:tcPr>
            <w:tcW w:w="1819" w:type="dxa"/>
            <w:shd w:val="clear" w:color="auto" w:fill="auto"/>
          </w:tcPr>
          <w:p w14:paraId="29E40051" w14:textId="77777777" w:rsidR="008D50D4" w:rsidRPr="00166D67" w:rsidRDefault="008D50D4" w:rsidP="0059185F">
            <w:pPr>
              <w:jc w:val="left"/>
              <w:rPr>
                <w:color w:val="FF0000"/>
                <w:sz w:val="17"/>
                <w:szCs w:val="17"/>
              </w:rPr>
            </w:pPr>
          </w:p>
        </w:tc>
        <w:tc>
          <w:tcPr>
            <w:tcW w:w="2155" w:type="dxa"/>
            <w:shd w:val="clear" w:color="auto" w:fill="auto"/>
          </w:tcPr>
          <w:p w14:paraId="2AECEF08" w14:textId="38B7F692" w:rsidR="008D50D4" w:rsidRPr="00166D67" w:rsidRDefault="00A820F1" w:rsidP="0059185F">
            <w:pPr>
              <w:jc w:val="left"/>
              <w:rPr>
                <w:sz w:val="17"/>
                <w:szCs w:val="17"/>
              </w:rPr>
            </w:pPr>
            <w:r w:rsidRPr="00166D67">
              <w:rPr>
                <w:sz w:val="17"/>
                <w:szCs w:val="17"/>
              </w:rPr>
              <w:t>All Regulated Financial Services Providers and Consumers</w:t>
            </w:r>
          </w:p>
        </w:tc>
        <w:tc>
          <w:tcPr>
            <w:tcW w:w="5523" w:type="dxa"/>
            <w:shd w:val="clear" w:color="auto" w:fill="auto"/>
          </w:tcPr>
          <w:p w14:paraId="5E9AC3F2" w14:textId="4B874E6E" w:rsidR="008D50D4" w:rsidRPr="00166D67" w:rsidRDefault="008D50D4" w:rsidP="0059185F">
            <w:pPr>
              <w:jc w:val="left"/>
              <w:rPr>
                <w:color w:val="FF0000"/>
                <w:sz w:val="17"/>
                <w:szCs w:val="17"/>
              </w:rPr>
            </w:pPr>
            <w:r w:rsidRPr="00166D67">
              <w:rPr>
                <w:sz w:val="17"/>
                <w:szCs w:val="17"/>
              </w:rPr>
              <w:t>On 10 September 2020, the CBI updated its COVID-19 hub.</w:t>
            </w:r>
            <w:r w:rsidR="003F41CB" w:rsidRPr="00166D67">
              <w:rPr>
                <w:sz w:val="17"/>
                <w:szCs w:val="17"/>
              </w:rPr>
              <w:t xml:space="preserve"> The section provides up to date advice on consumer issues related to the pandemic, such as mortgage payment breaks, scams and fraud, insurance and general banking and investment issues. It also provides guidance to regulated firms on handling COVID-19 issues with a consumer focus.</w:t>
            </w:r>
          </w:p>
        </w:tc>
      </w:tr>
      <w:tr w:rsidR="008D50D4" w:rsidRPr="00166D67" w14:paraId="5EE4202E" w14:textId="77777777" w:rsidTr="001701F9">
        <w:trPr>
          <w:cantSplit/>
        </w:trPr>
        <w:tc>
          <w:tcPr>
            <w:tcW w:w="1097" w:type="dxa"/>
            <w:shd w:val="clear" w:color="auto" w:fill="auto"/>
          </w:tcPr>
          <w:p w14:paraId="323EB105" w14:textId="136E51C6" w:rsidR="008D50D4" w:rsidRPr="007F1827" w:rsidRDefault="008D50D4" w:rsidP="0059185F">
            <w:pPr>
              <w:jc w:val="left"/>
              <w:rPr>
                <w:b/>
                <w:sz w:val="17"/>
                <w:szCs w:val="17"/>
              </w:rPr>
            </w:pPr>
            <w:r w:rsidRPr="007F1827">
              <w:rPr>
                <w:b/>
                <w:sz w:val="17"/>
                <w:szCs w:val="17"/>
              </w:rPr>
              <w:t>14 September 2020</w:t>
            </w:r>
          </w:p>
        </w:tc>
        <w:tc>
          <w:tcPr>
            <w:tcW w:w="1880" w:type="dxa"/>
            <w:shd w:val="clear" w:color="auto" w:fill="auto"/>
          </w:tcPr>
          <w:p w14:paraId="2A19CCBB" w14:textId="612705A8" w:rsidR="008D50D4" w:rsidRPr="00166D67" w:rsidRDefault="00A324C3" w:rsidP="0059185F">
            <w:pPr>
              <w:jc w:val="left"/>
              <w:rPr>
                <w:sz w:val="17"/>
                <w:szCs w:val="17"/>
              </w:rPr>
            </w:pPr>
            <w:hyperlink r:id="rId72" w:history="1">
              <w:r w:rsidR="00DC08D1" w:rsidRPr="00166D67">
                <w:rPr>
                  <w:rStyle w:val="Hyperlink"/>
                  <w:sz w:val="17"/>
                  <w:szCs w:val="17"/>
                </w:rPr>
                <w:t xml:space="preserve">Press Release: "The post Covid-19 world" - Governor Gabriel </w:t>
              </w:r>
              <w:proofErr w:type="spellStart"/>
              <w:r w:rsidR="00DC08D1" w:rsidRPr="00166D67">
                <w:rPr>
                  <w:rStyle w:val="Hyperlink"/>
                  <w:sz w:val="17"/>
                  <w:szCs w:val="17"/>
                </w:rPr>
                <w:t>Makhlouf</w:t>
              </w:r>
              <w:proofErr w:type="spellEnd"/>
            </w:hyperlink>
            <w:r w:rsidR="00DC08D1" w:rsidRPr="00166D67">
              <w:rPr>
                <w:sz w:val="17"/>
                <w:szCs w:val="17"/>
              </w:rPr>
              <w:t xml:space="preserve"> </w:t>
            </w:r>
          </w:p>
        </w:tc>
        <w:tc>
          <w:tcPr>
            <w:tcW w:w="1819" w:type="dxa"/>
            <w:shd w:val="clear" w:color="auto" w:fill="auto"/>
          </w:tcPr>
          <w:p w14:paraId="3ACFF973" w14:textId="77777777" w:rsidR="008D50D4" w:rsidRPr="00166D67" w:rsidRDefault="008D50D4" w:rsidP="0059185F">
            <w:pPr>
              <w:jc w:val="left"/>
              <w:rPr>
                <w:color w:val="FF0000"/>
                <w:sz w:val="17"/>
                <w:szCs w:val="17"/>
              </w:rPr>
            </w:pPr>
          </w:p>
        </w:tc>
        <w:tc>
          <w:tcPr>
            <w:tcW w:w="2155" w:type="dxa"/>
            <w:shd w:val="clear" w:color="auto" w:fill="auto"/>
          </w:tcPr>
          <w:p w14:paraId="57A1909C" w14:textId="5B7EFEE6" w:rsidR="008D50D4" w:rsidRPr="00166D67" w:rsidRDefault="00C974AD" w:rsidP="0059185F">
            <w:pPr>
              <w:jc w:val="left"/>
              <w:rPr>
                <w:sz w:val="17"/>
                <w:szCs w:val="17"/>
              </w:rPr>
            </w:pPr>
            <w:r w:rsidRPr="00166D67">
              <w:rPr>
                <w:sz w:val="17"/>
                <w:szCs w:val="17"/>
              </w:rPr>
              <w:t>All Regulated Financial Services Providers</w:t>
            </w:r>
          </w:p>
        </w:tc>
        <w:tc>
          <w:tcPr>
            <w:tcW w:w="5523" w:type="dxa"/>
            <w:shd w:val="clear" w:color="auto" w:fill="auto"/>
          </w:tcPr>
          <w:p w14:paraId="6C3596B9" w14:textId="66655239" w:rsidR="008D50D4" w:rsidRPr="00166D67" w:rsidRDefault="005B6E44" w:rsidP="0059185F">
            <w:pPr>
              <w:jc w:val="left"/>
              <w:rPr>
                <w:sz w:val="17"/>
                <w:szCs w:val="17"/>
              </w:rPr>
            </w:pPr>
            <w:r w:rsidRPr="00166D67">
              <w:rPr>
                <w:sz w:val="17"/>
                <w:szCs w:val="17"/>
              </w:rPr>
              <w:t>On 14 September 202</w:t>
            </w:r>
            <w:r w:rsidR="00A27E7E" w:rsidRPr="00166D67">
              <w:rPr>
                <w:sz w:val="17"/>
                <w:szCs w:val="17"/>
              </w:rPr>
              <w:t>0</w:t>
            </w:r>
            <w:r w:rsidRPr="00166D67">
              <w:rPr>
                <w:sz w:val="17"/>
                <w:szCs w:val="17"/>
              </w:rPr>
              <w:t xml:space="preserve">, </w:t>
            </w:r>
            <w:r w:rsidR="00323771" w:rsidRPr="00166D67">
              <w:rPr>
                <w:sz w:val="17"/>
                <w:szCs w:val="17"/>
              </w:rPr>
              <w:t xml:space="preserve">Governor </w:t>
            </w:r>
            <w:proofErr w:type="spellStart"/>
            <w:r w:rsidR="00323771" w:rsidRPr="00166D67">
              <w:rPr>
                <w:sz w:val="17"/>
                <w:szCs w:val="17"/>
              </w:rPr>
              <w:t>Makhlouf</w:t>
            </w:r>
            <w:proofErr w:type="spellEnd"/>
            <w:r w:rsidR="00323771" w:rsidRPr="00166D67">
              <w:rPr>
                <w:sz w:val="17"/>
                <w:szCs w:val="17"/>
              </w:rPr>
              <w:t xml:space="preserve"> spoke </w:t>
            </w:r>
            <w:r w:rsidRPr="00166D67">
              <w:rPr>
                <w:sz w:val="17"/>
                <w:szCs w:val="17"/>
              </w:rPr>
              <w:t xml:space="preserve">about Covid-19 and the future of the monetary policy </w:t>
            </w:r>
            <w:r w:rsidR="00323771" w:rsidRPr="00166D67">
              <w:rPr>
                <w:sz w:val="17"/>
                <w:szCs w:val="17"/>
              </w:rPr>
              <w:t>at a webinar hosted by the Institute of International and European Affairs.</w:t>
            </w:r>
            <w:r w:rsidRPr="00166D67">
              <w:rPr>
                <w:sz w:val="17"/>
                <w:szCs w:val="17"/>
              </w:rPr>
              <w:t xml:space="preserve"> He discussed the ongoing review of the</w:t>
            </w:r>
            <w:r w:rsidR="00A27E7E" w:rsidRPr="00166D67">
              <w:rPr>
                <w:sz w:val="17"/>
                <w:szCs w:val="17"/>
              </w:rPr>
              <w:t xml:space="preserve"> ECB's monetary policy strategy which included highlighting the evolving trends in globalisation and digitalisation that will affect the transmission of monetary policy across the euro area and the importance of monetary policy makers understanding the nature of any structural shifts underway so they can continue to deliver on mandates. He also encouraged any interested parties to submit their views via the ECB's website by the end of October.  </w:t>
            </w:r>
          </w:p>
        </w:tc>
      </w:tr>
      <w:tr w:rsidR="007D6EC0" w:rsidRPr="00166D67" w14:paraId="0B6FC4F0" w14:textId="77777777" w:rsidTr="001701F9">
        <w:trPr>
          <w:cantSplit/>
        </w:trPr>
        <w:tc>
          <w:tcPr>
            <w:tcW w:w="1097" w:type="dxa"/>
            <w:shd w:val="clear" w:color="auto" w:fill="auto"/>
          </w:tcPr>
          <w:p w14:paraId="59BEFFE5" w14:textId="1F8E973F" w:rsidR="007D6EC0" w:rsidRPr="007F1827" w:rsidRDefault="007D6EC0" w:rsidP="0059185F">
            <w:pPr>
              <w:jc w:val="left"/>
              <w:rPr>
                <w:b/>
                <w:sz w:val="17"/>
                <w:szCs w:val="17"/>
              </w:rPr>
            </w:pPr>
            <w:r w:rsidRPr="007F1827">
              <w:rPr>
                <w:b/>
                <w:sz w:val="17"/>
                <w:szCs w:val="17"/>
              </w:rPr>
              <w:t>15 September 2020</w:t>
            </w:r>
          </w:p>
        </w:tc>
        <w:tc>
          <w:tcPr>
            <w:tcW w:w="1880" w:type="dxa"/>
            <w:shd w:val="clear" w:color="auto" w:fill="auto"/>
          </w:tcPr>
          <w:p w14:paraId="0F6BEC3B" w14:textId="2ECE4A09" w:rsidR="007D6EC0" w:rsidRPr="00166D67" w:rsidRDefault="00A324C3" w:rsidP="0059185F">
            <w:pPr>
              <w:jc w:val="left"/>
              <w:rPr>
                <w:sz w:val="17"/>
                <w:szCs w:val="17"/>
              </w:rPr>
            </w:pPr>
            <w:hyperlink r:id="rId73" w:history="1">
              <w:r w:rsidR="007D6EC0" w:rsidRPr="00166D67">
                <w:rPr>
                  <w:rStyle w:val="Hyperlink"/>
                  <w:sz w:val="17"/>
                  <w:szCs w:val="17"/>
                </w:rPr>
                <w:t>Payment breaks provided a major source of  temporary relief to Irish households and firms at a time of extraordinary financial stress</w:t>
              </w:r>
            </w:hyperlink>
          </w:p>
        </w:tc>
        <w:tc>
          <w:tcPr>
            <w:tcW w:w="1819" w:type="dxa"/>
            <w:shd w:val="clear" w:color="auto" w:fill="auto"/>
          </w:tcPr>
          <w:p w14:paraId="3A524676" w14:textId="77777777" w:rsidR="007D6EC0" w:rsidRPr="00166D67" w:rsidRDefault="007D6EC0" w:rsidP="0059185F">
            <w:pPr>
              <w:jc w:val="left"/>
              <w:rPr>
                <w:color w:val="FF0000"/>
                <w:sz w:val="17"/>
                <w:szCs w:val="17"/>
              </w:rPr>
            </w:pPr>
          </w:p>
        </w:tc>
        <w:tc>
          <w:tcPr>
            <w:tcW w:w="2155" w:type="dxa"/>
            <w:shd w:val="clear" w:color="auto" w:fill="auto"/>
          </w:tcPr>
          <w:p w14:paraId="02F5B81C" w14:textId="77777777" w:rsidR="007D6EC0" w:rsidRPr="00166D67" w:rsidRDefault="007D6EC0" w:rsidP="0059185F">
            <w:pPr>
              <w:jc w:val="left"/>
              <w:rPr>
                <w:sz w:val="17"/>
                <w:szCs w:val="17"/>
              </w:rPr>
            </w:pPr>
            <w:r w:rsidRPr="00166D67">
              <w:rPr>
                <w:sz w:val="17"/>
                <w:szCs w:val="17"/>
              </w:rPr>
              <w:t>Credit Institutions</w:t>
            </w:r>
          </w:p>
          <w:p w14:paraId="0165EB19" w14:textId="77F1F741" w:rsidR="007D6EC0" w:rsidRPr="00166D67" w:rsidRDefault="007D6EC0" w:rsidP="0059185F">
            <w:pPr>
              <w:jc w:val="left"/>
              <w:rPr>
                <w:sz w:val="17"/>
                <w:szCs w:val="17"/>
              </w:rPr>
            </w:pPr>
            <w:r w:rsidRPr="00166D67">
              <w:rPr>
                <w:sz w:val="17"/>
                <w:szCs w:val="17"/>
              </w:rPr>
              <w:t>Retail Credit Firms</w:t>
            </w:r>
            <w:r w:rsidRPr="00166D67">
              <w:rPr>
                <w:rFonts w:cs="Arial"/>
                <w:sz w:val="17"/>
                <w:szCs w:val="17"/>
              </w:rPr>
              <w:t xml:space="preserve"> and Consumer borrowers</w:t>
            </w:r>
          </w:p>
        </w:tc>
        <w:tc>
          <w:tcPr>
            <w:tcW w:w="5523" w:type="dxa"/>
            <w:shd w:val="clear" w:color="auto" w:fill="auto"/>
          </w:tcPr>
          <w:p w14:paraId="3DF8C379" w14:textId="26029051" w:rsidR="007D6EC0" w:rsidRPr="00166D67" w:rsidRDefault="007D6EC0" w:rsidP="0059185F">
            <w:pPr>
              <w:jc w:val="left"/>
              <w:rPr>
                <w:sz w:val="17"/>
                <w:szCs w:val="17"/>
              </w:rPr>
            </w:pPr>
            <w:r w:rsidRPr="00166D67">
              <w:rPr>
                <w:rFonts w:cs="Arial"/>
                <w:sz w:val="17"/>
                <w:szCs w:val="17"/>
              </w:rPr>
              <w:t xml:space="preserve">The </w:t>
            </w:r>
            <w:r w:rsidRPr="00166D67">
              <w:rPr>
                <w:rFonts w:cs="Arial"/>
                <w:bCs/>
                <w:sz w:val="17"/>
                <w:szCs w:val="17"/>
              </w:rPr>
              <w:t>CBI</w:t>
            </w:r>
            <w:r w:rsidRPr="00166D67">
              <w:rPr>
                <w:rFonts w:cs="Arial"/>
                <w:sz w:val="17"/>
                <w:szCs w:val="17"/>
              </w:rPr>
              <w:t xml:space="preserve"> has published two new Financial Stability Notes (</w:t>
            </w:r>
            <w:r w:rsidRPr="00166D67">
              <w:rPr>
                <w:rFonts w:cs="Arial"/>
                <w:b/>
                <w:bCs/>
                <w:sz w:val="17"/>
                <w:szCs w:val="17"/>
              </w:rPr>
              <w:t>FSNs</w:t>
            </w:r>
            <w:r w:rsidRPr="00166D67">
              <w:rPr>
                <w:rFonts w:cs="Arial"/>
                <w:sz w:val="17"/>
                <w:szCs w:val="17"/>
              </w:rPr>
              <w:t>) which demonstrate that COVID-19 payment breaks provided valuable cash flow relief to households and businesses. The first FSN discusses the characteristics of Irish owner-occupied mortgages at the 5 major retail banks that were on COVID-19 payment breaks in May 2020. The second FSN examines which Irish firms took COVID-19 payment breaks. The first FSN found that current or previous payment difficulties was the strongest available predictor of COVID-19 payment breaks while the second FSN found that those who borrowed hi</w:t>
            </w:r>
            <w:r w:rsidR="008F47FC" w:rsidRPr="00166D67">
              <w:rPr>
                <w:rFonts w:cs="Arial"/>
                <w:sz w:val="17"/>
                <w:szCs w:val="17"/>
              </w:rPr>
              <w:t xml:space="preserve">gher multiples of their annual income were more likely to have a payment break. </w:t>
            </w:r>
          </w:p>
        </w:tc>
      </w:tr>
      <w:tr w:rsidR="00C974AD" w:rsidRPr="00166D67" w14:paraId="125E2654" w14:textId="77777777" w:rsidTr="001701F9">
        <w:trPr>
          <w:cantSplit/>
        </w:trPr>
        <w:tc>
          <w:tcPr>
            <w:tcW w:w="1097" w:type="dxa"/>
            <w:shd w:val="clear" w:color="auto" w:fill="auto"/>
          </w:tcPr>
          <w:p w14:paraId="3BECF68A" w14:textId="74239614" w:rsidR="00C974AD" w:rsidRPr="007F1827" w:rsidRDefault="00C974AD" w:rsidP="0059185F">
            <w:pPr>
              <w:jc w:val="left"/>
              <w:rPr>
                <w:b/>
                <w:sz w:val="17"/>
                <w:szCs w:val="17"/>
              </w:rPr>
            </w:pPr>
            <w:r w:rsidRPr="007F1827">
              <w:rPr>
                <w:b/>
                <w:sz w:val="17"/>
                <w:szCs w:val="17"/>
              </w:rPr>
              <w:t>17 September 2020</w:t>
            </w:r>
          </w:p>
        </w:tc>
        <w:tc>
          <w:tcPr>
            <w:tcW w:w="1880" w:type="dxa"/>
            <w:shd w:val="clear" w:color="auto" w:fill="auto"/>
          </w:tcPr>
          <w:p w14:paraId="0CBAEC92" w14:textId="129542B2" w:rsidR="00C974AD" w:rsidRPr="00166D67" w:rsidRDefault="00A324C3" w:rsidP="0059185F">
            <w:pPr>
              <w:jc w:val="left"/>
              <w:rPr>
                <w:sz w:val="17"/>
                <w:szCs w:val="17"/>
              </w:rPr>
            </w:pPr>
            <w:hyperlink r:id="rId74" w:history="1">
              <w:r w:rsidR="00C974AD" w:rsidRPr="00166D67">
                <w:rPr>
                  <w:rStyle w:val="Hyperlink"/>
                  <w:sz w:val="17"/>
                  <w:szCs w:val="17"/>
                </w:rPr>
                <w:t>COVID-19 Payment Breaks – who continues to avail of them?</w:t>
              </w:r>
            </w:hyperlink>
            <w:r w:rsidR="00C974AD" w:rsidRPr="00166D67">
              <w:rPr>
                <w:sz w:val="17"/>
                <w:szCs w:val="17"/>
              </w:rPr>
              <w:t xml:space="preserve"> </w:t>
            </w:r>
          </w:p>
        </w:tc>
        <w:tc>
          <w:tcPr>
            <w:tcW w:w="1819" w:type="dxa"/>
            <w:shd w:val="clear" w:color="auto" w:fill="auto"/>
          </w:tcPr>
          <w:p w14:paraId="7A1247BF" w14:textId="77777777" w:rsidR="00C974AD" w:rsidRPr="00166D67" w:rsidRDefault="00C974AD" w:rsidP="0059185F">
            <w:pPr>
              <w:jc w:val="left"/>
              <w:rPr>
                <w:color w:val="FF0000"/>
                <w:sz w:val="17"/>
                <w:szCs w:val="17"/>
              </w:rPr>
            </w:pPr>
          </w:p>
        </w:tc>
        <w:tc>
          <w:tcPr>
            <w:tcW w:w="2155" w:type="dxa"/>
            <w:shd w:val="clear" w:color="auto" w:fill="auto"/>
          </w:tcPr>
          <w:p w14:paraId="2A5758C2" w14:textId="3205B750" w:rsidR="00C974AD" w:rsidRPr="00166D67" w:rsidRDefault="00C974AD" w:rsidP="0059185F">
            <w:pPr>
              <w:jc w:val="left"/>
              <w:rPr>
                <w:sz w:val="17"/>
                <w:szCs w:val="17"/>
              </w:rPr>
            </w:pPr>
            <w:r w:rsidRPr="00166D67">
              <w:rPr>
                <w:sz w:val="17"/>
                <w:szCs w:val="17"/>
              </w:rPr>
              <w:t>All Regulated Financial Services Providers</w:t>
            </w:r>
          </w:p>
        </w:tc>
        <w:tc>
          <w:tcPr>
            <w:tcW w:w="5523" w:type="dxa"/>
            <w:shd w:val="clear" w:color="auto" w:fill="auto"/>
          </w:tcPr>
          <w:p w14:paraId="026A8ED3" w14:textId="77777777" w:rsidR="00BF0038" w:rsidRPr="00166D67" w:rsidRDefault="00C974AD" w:rsidP="0059185F">
            <w:pPr>
              <w:jc w:val="left"/>
              <w:rPr>
                <w:rFonts w:cs="Arial"/>
                <w:sz w:val="17"/>
                <w:szCs w:val="17"/>
              </w:rPr>
            </w:pPr>
            <w:r w:rsidRPr="00166D67">
              <w:rPr>
                <w:rFonts w:cs="Arial"/>
                <w:sz w:val="17"/>
                <w:szCs w:val="17"/>
              </w:rPr>
              <w:t xml:space="preserve">The CBI has published a report looking "behind the data" to provide an update on the prevalence of the payment breaks across the various categories of borrowers. The data shows a 27% reduction in the value of active payment breaks to Irish borrowers since the end of June. The data also shows that 90,539 payment breaks remain active representing €14.7 billion or just over 9% of loans to Irish borrowers. </w:t>
            </w:r>
          </w:p>
          <w:p w14:paraId="73F4D361" w14:textId="7A2BA8B7" w:rsidR="00C974AD" w:rsidRPr="00166D67" w:rsidRDefault="00C974AD" w:rsidP="0059185F">
            <w:pPr>
              <w:jc w:val="left"/>
              <w:rPr>
                <w:rFonts w:cs="Arial"/>
                <w:sz w:val="17"/>
                <w:szCs w:val="17"/>
              </w:rPr>
            </w:pPr>
            <w:r w:rsidRPr="00166D67">
              <w:rPr>
                <w:rFonts w:cs="Arial"/>
                <w:sz w:val="17"/>
                <w:szCs w:val="17"/>
              </w:rPr>
              <w:t>Most borrowers applied between the end of March and the end of June and were granted an initial 3-month payment break with an option to extend for a further 3 months. For some businesses, an initial 6-month break was granted. Many borrowers will begin to come to the end of the maximum agreed duration of payment breaks from</w:t>
            </w:r>
            <w:r w:rsidR="00B33C30" w:rsidRPr="00166D67">
              <w:rPr>
                <w:rFonts w:cs="Arial"/>
                <w:sz w:val="17"/>
                <w:szCs w:val="17"/>
              </w:rPr>
              <w:t xml:space="preserve"> the end of September onwards. </w:t>
            </w:r>
            <w:r w:rsidRPr="00166D67">
              <w:rPr>
                <w:rFonts w:cs="Arial"/>
                <w:sz w:val="17"/>
                <w:szCs w:val="17"/>
              </w:rPr>
              <w:t xml:space="preserve">The CBI remains focused on ensuring that financial services appropriately support borrowers in financial difficulty that are unable to return to full repayments following a payment break. </w:t>
            </w:r>
          </w:p>
        </w:tc>
      </w:tr>
      <w:tr w:rsidR="007837AA" w:rsidRPr="00166D67" w14:paraId="12BF27F7" w14:textId="77777777" w:rsidTr="001701F9">
        <w:trPr>
          <w:cantSplit/>
        </w:trPr>
        <w:tc>
          <w:tcPr>
            <w:tcW w:w="1097" w:type="dxa"/>
            <w:shd w:val="clear" w:color="auto" w:fill="auto"/>
          </w:tcPr>
          <w:p w14:paraId="3B4705D3" w14:textId="52735BFF" w:rsidR="007837AA" w:rsidRPr="007F1827" w:rsidRDefault="007837AA" w:rsidP="0059185F">
            <w:pPr>
              <w:jc w:val="left"/>
              <w:rPr>
                <w:b/>
                <w:sz w:val="17"/>
                <w:szCs w:val="17"/>
              </w:rPr>
            </w:pPr>
            <w:r w:rsidRPr="007F1827">
              <w:rPr>
                <w:b/>
                <w:sz w:val="17"/>
                <w:szCs w:val="17"/>
              </w:rPr>
              <w:t>22 September 2020</w:t>
            </w:r>
          </w:p>
        </w:tc>
        <w:tc>
          <w:tcPr>
            <w:tcW w:w="1880" w:type="dxa"/>
            <w:shd w:val="clear" w:color="auto" w:fill="auto"/>
          </w:tcPr>
          <w:p w14:paraId="2EB731D1" w14:textId="08C5BE1B" w:rsidR="007837AA" w:rsidRPr="00166D67" w:rsidRDefault="00A324C3" w:rsidP="0059185F">
            <w:pPr>
              <w:jc w:val="left"/>
              <w:rPr>
                <w:sz w:val="17"/>
                <w:szCs w:val="17"/>
              </w:rPr>
            </w:pPr>
            <w:hyperlink r:id="rId75" w:history="1">
              <w:r w:rsidR="008F47FC" w:rsidRPr="00166D67">
                <w:rPr>
                  <w:rStyle w:val="Hyperlink"/>
                  <w:sz w:val="17"/>
                  <w:szCs w:val="17"/>
                </w:rPr>
                <w:t>Irish households more resilient to COVID-19 economic impact than to financial crisis</w:t>
              </w:r>
            </w:hyperlink>
          </w:p>
        </w:tc>
        <w:tc>
          <w:tcPr>
            <w:tcW w:w="1819" w:type="dxa"/>
            <w:shd w:val="clear" w:color="auto" w:fill="auto"/>
          </w:tcPr>
          <w:p w14:paraId="44FEE150" w14:textId="77777777" w:rsidR="007837AA" w:rsidRPr="00166D67" w:rsidRDefault="007837AA" w:rsidP="0059185F">
            <w:pPr>
              <w:jc w:val="left"/>
              <w:rPr>
                <w:color w:val="FF0000"/>
                <w:sz w:val="17"/>
                <w:szCs w:val="17"/>
              </w:rPr>
            </w:pPr>
          </w:p>
        </w:tc>
        <w:tc>
          <w:tcPr>
            <w:tcW w:w="2155" w:type="dxa"/>
            <w:shd w:val="clear" w:color="auto" w:fill="auto"/>
          </w:tcPr>
          <w:p w14:paraId="0116915C" w14:textId="047B1DAD" w:rsidR="007837AA" w:rsidRPr="00166D67" w:rsidRDefault="00A820F1" w:rsidP="0059185F">
            <w:pPr>
              <w:jc w:val="left"/>
              <w:rPr>
                <w:sz w:val="17"/>
                <w:szCs w:val="17"/>
              </w:rPr>
            </w:pPr>
            <w:r w:rsidRPr="00166D67">
              <w:rPr>
                <w:sz w:val="17"/>
                <w:szCs w:val="17"/>
              </w:rPr>
              <w:t>All Regulated Financial Services Providers and Consumers</w:t>
            </w:r>
          </w:p>
        </w:tc>
        <w:tc>
          <w:tcPr>
            <w:tcW w:w="5523" w:type="dxa"/>
            <w:shd w:val="clear" w:color="auto" w:fill="auto"/>
          </w:tcPr>
          <w:p w14:paraId="59D31AFC" w14:textId="3AE21DB2" w:rsidR="007837AA" w:rsidRPr="00166D67" w:rsidRDefault="007837AA" w:rsidP="0059185F">
            <w:pPr>
              <w:jc w:val="left"/>
              <w:rPr>
                <w:rFonts w:cs="Arial"/>
                <w:sz w:val="17"/>
                <w:szCs w:val="17"/>
              </w:rPr>
            </w:pPr>
            <w:r w:rsidRPr="00166D67">
              <w:rPr>
                <w:rFonts w:cs="Arial"/>
                <w:sz w:val="17"/>
                <w:szCs w:val="17"/>
              </w:rPr>
              <w:t>The CBI has published a Research Technical Paper entitled "</w:t>
            </w:r>
            <w:hyperlink r:id="rId76" w:history="1">
              <w:r w:rsidRPr="00166D67">
                <w:rPr>
                  <w:rStyle w:val="Hyperlink"/>
                  <w:rFonts w:cs="Arial"/>
                  <w:sz w:val="17"/>
                  <w:szCs w:val="17"/>
                </w:rPr>
                <w:t>Household wealth: what is it, who has it, and why it matters</w:t>
              </w:r>
            </w:hyperlink>
            <w:r w:rsidRPr="00166D67">
              <w:rPr>
                <w:rFonts w:cs="Arial"/>
                <w:sz w:val="17"/>
                <w:szCs w:val="17"/>
              </w:rPr>
              <w:t xml:space="preserve">" presenting the results of the Household Finance and Consumption Survey 2018. The results show the improved financial position and resilience of households prior to the COVID-19 crisis compared to the lead-up to the 2008 financial crisis. The results also show that from 2013 to 2018 that the average Irish household net wealth grew by over €76,000. </w:t>
            </w:r>
          </w:p>
        </w:tc>
      </w:tr>
      <w:tr w:rsidR="00904FCA" w:rsidRPr="00166D67" w14:paraId="1E739025" w14:textId="77777777" w:rsidTr="001701F9">
        <w:trPr>
          <w:cantSplit/>
        </w:trPr>
        <w:tc>
          <w:tcPr>
            <w:tcW w:w="1097" w:type="dxa"/>
            <w:shd w:val="clear" w:color="auto" w:fill="auto"/>
          </w:tcPr>
          <w:p w14:paraId="4CF59CCC" w14:textId="65B2F8A9" w:rsidR="00904FCA" w:rsidRPr="007F1827" w:rsidRDefault="00904FCA" w:rsidP="0059185F">
            <w:pPr>
              <w:jc w:val="left"/>
              <w:rPr>
                <w:b/>
                <w:sz w:val="17"/>
                <w:szCs w:val="17"/>
              </w:rPr>
            </w:pPr>
            <w:r w:rsidRPr="007F1827">
              <w:rPr>
                <w:b/>
                <w:sz w:val="17"/>
                <w:szCs w:val="17"/>
              </w:rPr>
              <w:t>28 September 2020</w:t>
            </w:r>
          </w:p>
        </w:tc>
        <w:tc>
          <w:tcPr>
            <w:tcW w:w="1880" w:type="dxa"/>
            <w:shd w:val="clear" w:color="auto" w:fill="auto"/>
          </w:tcPr>
          <w:p w14:paraId="058D0AC4" w14:textId="1061DC38" w:rsidR="00904FCA" w:rsidRPr="00166D67" w:rsidRDefault="00A324C3" w:rsidP="0059185F">
            <w:pPr>
              <w:jc w:val="left"/>
              <w:rPr>
                <w:sz w:val="17"/>
                <w:szCs w:val="17"/>
              </w:rPr>
            </w:pPr>
            <w:hyperlink r:id="rId77" w:history="1">
              <w:r w:rsidR="00904FCA" w:rsidRPr="00166D67">
                <w:rPr>
                  <w:rStyle w:val="Hyperlink"/>
                  <w:sz w:val="17"/>
                  <w:szCs w:val="17"/>
                </w:rPr>
                <w:t>"Learning the lessons from the global financial crisis in addressing the distress arising from the pandemic" – Deputy Governor Ed Sibley</w:t>
              </w:r>
            </w:hyperlink>
          </w:p>
        </w:tc>
        <w:tc>
          <w:tcPr>
            <w:tcW w:w="1819" w:type="dxa"/>
            <w:shd w:val="clear" w:color="auto" w:fill="auto"/>
          </w:tcPr>
          <w:p w14:paraId="0EE2ADB7" w14:textId="77777777" w:rsidR="00904FCA" w:rsidRPr="00166D67" w:rsidRDefault="00904FCA" w:rsidP="0059185F">
            <w:pPr>
              <w:jc w:val="left"/>
              <w:rPr>
                <w:color w:val="FF0000"/>
                <w:sz w:val="17"/>
                <w:szCs w:val="17"/>
              </w:rPr>
            </w:pPr>
          </w:p>
        </w:tc>
        <w:tc>
          <w:tcPr>
            <w:tcW w:w="2155" w:type="dxa"/>
            <w:shd w:val="clear" w:color="auto" w:fill="auto"/>
          </w:tcPr>
          <w:p w14:paraId="292EF4E9" w14:textId="7099D044" w:rsidR="00904FCA" w:rsidRPr="00166D67" w:rsidRDefault="003D2F8B" w:rsidP="0059185F">
            <w:pPr>
              <w:jc w:val="left"/>
              <w:rPr>
                <w:sz w:val="17"/>
                <w:szCs w:val="17"/>
              </w:rPr>
            </w:pPr>
            <w:r w:rsidRPr="00166D67">
              <w:rPr>
                <w:sz w:val="17"/>
                <w:szCs w:val="17"/>
              </w:rPr>
              <w:t>All Regulated Financial Services Providers and Consumers</w:t>
            </w:r>
          </w:p>
        </w:tc>
        <w:tc>
          <w:tcPr>
            <w:tcW w:w="5523" w:type="dxa"/>
            <w:shd w:val="clear" w:color="auto" w:fill="auto"/>
          </w:tcPr>
          <w:p w14:paraId="097667AA" w14:textId="3B4DDF6F" w:rsidR="00904FCA" w:rsidRPr="00166D67" w:rsidRDefault="00904FCA" w:rsidP="0059185F">
            <w:pPr>
              <w:jc w:val="left"/>
              <w:rPr>
                <w:rFonts w:cs="Arial"/>
                <w:sz w:val="17"/>
                <w:szCs w:val="17"/>
              </w:rPr>
            </w:pPr>
            <w:r w:rsidRPr="00166D67">
              <w:rPr>
                <w:sz w:val="17"/>
                <w:szCs w:val="17"/>
              </w:rPr>
              <w:t>On 28 September 2020, Deputy Governor Sibley spoke at a webinar jointly</w:t>
            </w:r>
            <w:r w:rsidR="008F47FC" w:rsidRPr="00166D67">
              <w:rPr>
                <w:sz w:val="17"/>
                <w:szCs w:val="17"/>
              </w:rPr>
              <w:t xml:space="preserve"> hosted</w:t>
            </w:r>
            <w:r w:rsidRPr="00166D67">
              <w:rPr>
                <w:sz w:val="17"/>
                <w:szCs w:val="17"/>
              </w:rPr>
              <w:t xml:space="preserve"> by the CBI and the University of Limerick. During the webinar, Deputy Governor Sibley spoke about the importance of supporting borrowers noting that the system-wide payment breaks provided invaluable support to borrowers with many now able to return to repayments. He further noted that there seems to be a transition to individually tailored supports for borrowers who remain in difficulty. He concluded by encouraging effective engagement between lenders and borrowers over the coming months. </w:t>
            </w:r>
          </w:p>
        </w:tc>
      </w:tr>
      <w:tr w:rsidR="007D4080" w:rsidRPr="00166D67" w14:paraId="3E198B00" w14:textId="77777777" w:rsidTr="001701F9">
        <w:trPr>
          <w:cantSplit/>
        </w:trPr>
        <w:tc>
          <w:tcPr>
            <w:tcW w:w="1097" w:type="dxa"/>
            <w:shd w:val="clear" w:color="auto" w:fill="auto"/>
          </w:tcPr>
          <w:p w14:paraId="29CA0B8F" w14:textId="33825687" w:rsidR="007D4080" w:rsidRPr="007F1827" w:rsidRDefault="007D4080" w:rsidP="0059185F">
            <w:pPr>
              <w:jc w:val="left"/>
              <w:rPr>
                <w:b/>
                <w:sz w:val="17"/>
                <w:szCs w:val="17"/>
              </w:rPr>
            </w:pPr>
            <w:r w:rsidRPr="007F1827">
              <w:rPr>
                <w:b/>
                <w:sz w:val="17"/>
                <w:szCs w:val="17"/>
              </w:rPr>
              <w:t>28 September 2020</w:t>
            </w:r>
          </w:p>
        </w:tc>
        <w:tc>
          <w:tcPr>
            <w:tcW w:w="1880" w:type="dxa"/>
            <w:shd w:val="clear" w:color="auto" w:fill="auto"/>
          </w:tcPr>
          <w:p w14:paraId="472A2DB0" w14:textId="3B088E31" w:rsidR="007D4080" w:rsidRPr="00166D67" w:rsidRDefault="00A324C3" w:rsidP="0059185F">
            <w:pPr>
              <w:jc w:val="left"/>
              <w:rPr>
                <w:sz w:val="17"/>
                <w:szCs w:val="17"/>
              </w:rPr>
            </w:pPr>
            <w:hyperlink r:id="rId78" w:history="1">
              <w:r w:rsidR="003D2F8B" w:rsidRPr="00166D67">
                <w:rPr>
                  <w:rStyle w:val="Hyperlink"/>
                  <w:sz w:val="17"/>
                  <w:szCs w:val="17"/>
                </w:rPr>
                <w:t>Understanding Long-term Mortgage Arrears in Ireland</w:t>
              </w:r>
            </w:hyperlink>
          </w:p>
        </w:tc>
        <w:tc>
          <w:tcPr>
            <w:tcW w:w="1819" w:type="dxa"/>
            <w:shd w:val="clear" w:color="auto" w:fill="auto"/>
          </w:tcPr>
          <w:p w14:paraId="38279061" w14:textId="77777777" w:rsidR="007D4080" w:rsidRPr="00166D67" w:rsidRDefault="007D4080" w:rsidP="0059185F">
            <w:pPr>
              <w:jc w:val="left"/>
              <w:rPr>
                <w:color w:val="FF0000"/>
                <w:sz w:val="17"/>
                <w:szCs w:val="17"/>
              </w:rPr>
            </w:pPr>
          </w:p>
        </w:tc>
        <w:tc>
          <w:tcPr>
            <w:tcW w:w="2155" w:type="dxa"/>
            <w:shd w:val="clear" w:color="auto" w:fill="auto"/>
          </w:tcPr>
          <w:p w14:paraId="60DAB21A" w14:textId="57D7BB0F" w:rsidR="007D4080" w:rsidRPr="00166D67" w:rsidRDefault="003D2F8B" w:rsidP="0059185F">
            <w:pPr>
              <w:jc w:val="left"/>
              <w:rPr>
                <w:sz w:val="17"/>
                <w:szCs w:val="17"/>
              </w:rPr>
            </w:pPr>
            <w:r w:rsidRPr="00166D67">
              <w:rPr>
                <w:sz w:val="17"/>
                <w:szCs w:val="17"/>
              </w:rPr>
              <w:t>All Regulated Financial Services Providers and Consumers</w:t>
            </w:r>
          </w:p>
        </w:tc>
        <w:tc>
          <w:tcPr>
            <w:tcW w:w="5523" w:type="dxa"/>
            <w:shd w:val="clear" w:color="auto" w:fill="auto"/>
          </w:tcPr>
          <w:p w14:paraId="40EF799E" w14:textId="1DB3C189" w:rsidR="007D4080" w:rsidRPr="00166D67" w:rsidRDefault="003D2F8B" w:rsidP="0059185F">
            <w:pPr>
              <w:jc w:val="left"/>
              <w:rPr>
                <w:sz w:val="17"/>
                <w:szCs w:val="17"/>
              </w:rPr>
            </w:pPr>
            <w:r w:rsidRPr="00166D67">
              <w:rPr>
                <w:rFonts w:cs="Arial"/>
                <w:sz w:val="17"/>
                <w:szCs w:val="17"/>
              </w:rPr>
              <w:t>The CBI has published a report looking "behind the data" showing that a significant amount of long-term mortgage arrears are more than ten years in arrears, with some cases dating back to the last financial crisis. The report shows the impact on approximately half a million private sector employees who were reliant on governmental financial support, and consequently</w:t>
            </w:r>
            <w:r w:rsidR="001C23BE" w:rsidRPr="00166D67">
              <w:rPr>
                <w:rFonts w:cs="Arial"/>
                <w:sz w:val="17"/>
                <w:szCs w:val="17"/>
              </w:rPr>
              <w:t>,</w:t>
            </w:r>
            <w:r w:rsidRPr="00166D67">
              <w:rPr>
                <w:rFonts w:cs="Arial"/>
                <w:sz w:val="17"/>
                <w:szCs w:val="17"/>
              </w:rPr>
              <w:t xml:space="preserve"> the approximately 10% of Irish mortgage holders who availed of the COVID-19 payment breaks. </w:t>
            </w:r>
            <w:r w:rsidR="001C23BE" w:rsidRPr="00166D67">
              <w:rPr>
                <w:rFonts w:cs="Arial"/>
                <w:sz w:val="17"/>
                <w:szCs w:val="17"/>
              </w:rPr>
              <w:t>T</w:t>
            </w:r>
            <w:r w:rsidRPr="00166D67">
              <w:rPr>
                <w:rFonts w:cs="Arial"/>
                <w:sz w:val="17"/>
                <w:szCs w:val="17"/>
              </w:rPr>
              <w:t xml:space="preserve">he data shows that while arrears levels have fallen considerably in recent years, the present levels remain high with a number of long-term cases accounting for those with repayment difficulties. </w:t>
            </w:r>
          </w:p>
        </w:tc>
      </w:tr>
      <w:tr w:rsidR="00D23AD2" w:rsidRPr="00166D67" w14:paraId="6937C3E5" w14:textId="77777777" w:rsidTr="001701F9">
        <w:trPr>
          <w:cantSplit/>
        </w:trPr>
        <w:tc>
          <w:tcPr>
            <w:tcW w:w="1097" w:type="dxa"/>
            <w:shd w:val="clear" w:color="auto" w:fill="auto"/>
          </w:tcPr>
          <w:p w14:paraId="28DC5FFC" w14:textId="361AD660" w:rsidR="00D23AD2" w:rsidRPr="007F1827" w:rsidRDefault="00D23AD2" w:rsidP="0059185F">
            <w:pPr>
              <w:jc w:val="left"/>
              <w:rPr>
                <w:b/>
                <w:sz w:val="17"/>
                <w:szCs w:val="17"/>
              </w:rPr>
            </w:pPr>
            <w:r w:rsidRPr="007F1827">
              <w:rPr>
                <w:b/>
                <w:sz w:val="17"/>
                <w:szCs w:val="17"/>
              </w:rPr>
              <w:t>30 September 2020</w:t>
            </w:r>
          </w:p>
        </w:tc>
        <w:tc>
          <w:tcPr>
            <w:tcW w:w="1880" w:type="dxa"/>
            <w:shd w:val="clear" w:color="auto" w:fill="auto"/>
          </w:tcPr>
          <w:p w14:paraId="295B05DD" w14:textId="03C76752" w:rsidR="00D23AD2" w:rsidRPr="00166D67" w:rsidRDefault="00A324C3" w:rsidP="0059185F">
            <w:pPr>
              <w:jc w:val="left"/>
              <w:rPr>
                <w:sz w:val="17"/>
                <w:szCs w:val="17"/>
              </w:rPr>
            </w:pPr>
            <w:hyperlink r:id="rId79" w:history="1">
              <w:r w:rsidR="00D23AD2" w:rsidRPr="00166D67">
                <w:rPr>
                  <w:rStyle w:val="Hyperlink"/>
                  <w:sz w:val="17"/>
                  <w:szCs w:val="17"/>
                </w:rPr>
                <w:t xml:space="preserve">Central Bank expects lenders to engage constructively with borrowers who are experiencing financial difficulty as a result of COVID-19 – Director General,  </w:t>
              </w:r>
              <w:proofErr w:type="spellStart"/>
              <w:r w:rsidR="00D23AD2" w:rsidRPr="00166D67">
                <w:rPr>
                  <w:rStyle w:val="Hyperlink"/>
                  <w:sz w:val="17"/>
                  <w:szCs w:val="17"/>
                </w:rPr>
                <w:t>Derville</w:t>
              </w:r>
              <w:proofErr w:type="spellEnd"/>
              <w:r w:rsidR="00D23AD2" w:rsidRPr="00166D67">
                <w:rPr>
                  <w:rStyle w:val="Hyperlink"/>
                  <w:sz w:val="17"/>
                  <w:szCs w:val="17"/>
                </w:rPr>
                <w:t xml:space="preserve"> Rowland</w:t>
              </w:r>
            </w:hyperlink>
          </w:p>
        </w:tc>
        <w:tc>
          <w:tcPr>
            <w:tcW w:w="1819" w:type="dxa"/>
            <w:shd w:val="clear" w:color="auto" w:fill="auto"/>
          </w:tcPr>
          <w:p w14:paraId="23FCB56C" w14:textId="77777777" w:rsidR="00D23AD2" w:rsidRPr="00166D67" w:rsidRDefault="00D23AD2" w:rsidP="0059185F">
            <w:pPr>
              <w:jc w:val="left"/>
              <w:rPr>
                <w:color w:val="FF0000"/>
                <w:sz w:val="17"/>
                <w:szCs w:val="17"/>
              </w:rPr>
            </w:pPr>
          </w:p>
        </w:tc>
        <w:tc>
          <w:tcPr>
            <w:tcW w:w="2155" w:type="dxa"/>
            <w:shd w:val="clear" w:color="auto" w:fill="auto"/>
          </w:tcPr>
          <w:p w14:paraId="30C8A450" w14:textId="752C1370" w:rsidR="00D23AD2" w:rsidRPr="00166D67" w:rsidRDefault="003749EC" w:rsidP="0059185F">
            <w:pPr>
              <w:jc w:val="left"/>
              <w:rPr>
                <w:sz w:val="17"/>
                <w:szCs w:val="17"/>
              </w:rPr>
            </w:pPr>
            <w:r w:rsidRPr="00166D67">
              <w:rPr>
                <w:sz w:val="17"/>
                <w:szCs w:val="17"/>
              </w:rPr>
              <w:t>All Regulated Financial Services Providers and Consumers</w:t>
            </w:r>
          </w:p>
        </w:tc>
        <w:tc>
          <w:tcPr>
            <w:tcW w:w="5523" w:type="dxa"/>
            <w:shd w:val="clear" w:color="auto" w:fill="auto"/>
          </w:tcPr>
          <w:p w14:paraId="1C544DC2" w14:textId="01D17030" w:rsidR="00D23AD2" w:rsidRPr="00166D67" w:rsidRDefault="003749EC" w:rsidP="0059185F">
            <w:pPr>
              <w:jc w:val="left"/>
              <w:rPr>
                <w:rFonts w:cs="Arial"/>
                <w:sz w:val="17"/>
                <w:szCs w:val="17"/>
              </w:rPr>
            </w:pPr>
            <w:r w:rsidRPr="00166D67">
              <w:rPr>
                <w:sz w:val="17"/>
                <w:szCs w:val="17"/>
              </w:rPr>
              <w:t xml:space="preserve">Director General of Financial Conduct, </w:t>
            </w:r>
            <w:proofErr w:type="spellStart"/>
            <w:r w:rsidRPr="00166D67">
              <w:rPr>
                <w:sz w:val="17"/>
                <w:szCs w:val="17"/>
              </w:rPr>
              <w:t>Derville</w:t>
            </w:r>
            <w:proofErr w:type="spellEnd"/>
            <w:r w:rsidRPr="00166D67">
              <w:rPr>
                <w:sz w:val="17"/>
                <w:szCs w:val="17"/>
              </w:rPr>
              <w:t xml:space="preserve"> Rowland addressed the Autumn Seminar of the Money Advice and Budgeting Service on 30 September 2020. She spoke about the Central Bank's role in the national consumer protection framework </w:t>
            </w:r>
            <w:r w:rsidR="003F1C91" w:rsidRPr="00166D67">
              <w:rPr>
                <w:sz w:val="17"/>
                <w:szCs w:val="17"/>
              </w:rPr>
              <w:t xml:space="preserve">and its priorities in light of COVID-19 noting that there was a number of consumer protections remaining in place. She also noted that lenders have clear guidance on how they must treat struggling borrowers and that the solutions offered must be appropriate and sustainable for the borrower's individual circumstances. </w:t>
            </w:r>
          </w:p>
        </w:tc>
      </w:tr>
      <w:tr w:rsidR="00B7060E" w:rsidRPr="00166D67" w14:paraId="43B7AB24" w14:textId="77777777" w:rsidTr="001701F9">
        <w:trPr>
          <w:cantSplit/>
        </w:trPr>
        <w:tc>
          <w:tcPr>
            <w:tcW w:w="1097" w:type="dxa"/>
            <w:shd w:val="clear" w:color="auto" w:fill="auto"/>
          </w:tcPr>
          <w:p w14:paraId="49C2560E" w14:textId="2F1D1DDC" w:rsidR="00B7060E" w:rsidRPr="007F1827" w:rsidRDefault="00B7060E" w:rsidP="0059185F">
            <w:pPr>
              <w:jc w:val="left"/>
              <w:rPr>
                <w:b/>
                <w:sz w:val="17"/>
                <w:szCs w:val="17"/>
              </w:rPr>
            </w:pPr>
            <w:r w:rsidRPr="007F1827">
              <w:rPr>
                <w:b/>
                <w:sz w:val="17"/>
                <w:szCs w:val="17"/>
              </w:rPr>
              <w:t>1 October 2020</w:t>
            </w:r>
          </w:p>
        </w:tc>
        <w:tc>
          <w:tcPr>
            <w:tcW w:w="1880" w:type="dxa"/>
            <w:shd w:val="clear" w:color="auto" w:fill="auto"/>
          </w:tcPr>
          <w:p w14:paraId="3F6C2B3B" w14:textId="1096E9AA" w:rsidR="00B7060E" w:rsidRPr="00166D67" w:rsidRDefault="00A324C3" w:rsidP="0059185F">
            <w:pPr>
              <w:jc w:val="left"/>
              <w:rPr>
                <w:sz w:val="17"/>
                <w:szCs w:val="17"/>
              </w:rPr>
            </w:pPr>
            <w:hyperlink r:id="rId80" w:history="1">
              <w:r w:rsidR="00B7060E" w:rsidRPr="00166D67">
                <w:rPr>
                  <w:rStyle w:val="Hyperlink"/>
                  <w:sz w:val="17"/>
                  <w:szCs w:val="17"/>
                </w:rPr>
                <w:t>Impact of COVID-19 on Irish enterprises has been sudden, large and uneven</w:t>
              </w:r>
            </w:hyperlink>
          </w:p>
        </w:tc>
        <w:tc>
          <w:tcPr>
            <w:tcW w:w="1819" w:type="dxa"/>
            <w:shd w:val="clear" w:color="auto" w:fill="auto"/>
          </w:tcPr>
          <w:p w14:paraId="33C34F99" w14:textId="77777777" w:rsidR="00B7060E" w:rsidRPr="00166D67" w:rsidRDefault="00B7060E" w:rsidP="0059185F">
            <w:pPr>
              <w:jc w:val="left"/>
              <w:rPr>
                <w:color w:val="FF0000"/>
                <w:sz w:val="17"/>
                <w:szCs w:val="17"/>
              </w:rPr>
            </w:pPr>
          </w:p>
        </w:tc>
        <w:tc>
          <w:tcPr>
            <w:tcW w:w="2155" w:type="dxa"/>
            <w:shd w:val="clear" w:color="auto" w:fill="auto"/>
          </w:tcPr>
          <w:p w14:paraId="66D18043" w14:textId="2E4EFC61" w:rsidR="00B7060E" w:rsidRPr="00166D67" w:rsidRDefault="00B7060E" w:rsidP="0059185F">
            <w:pPr>
              <w:jc w:val="left"/>
              <w:rPr>
                <w:sz w:val="17"/>
                <w:szCs w:val="17"/>
              </w:rPr>
            </w:pPr>
            <w:r w:rsidRPr="00166D67">
              <w:rPr>
                <w:sz w:val="17"/>
                <w:szCs w:val="17"/>
              </w:rPr>
              <w:t>All Regulated Financial Services Providers and Consumers</w:t>
            </w:r>
          </w:p>
        </w:tc>
        <w:tc>
          <w:tcPr>
            <w:tcW w:w="5523" w:type="dxa"/>
            <w:shd w:val="clear" w:color="auto" w:fill="auto"/>
          </w:tcPr>
          <w:p w14:paraId="0E3288D2" w14:textId="3C1E59B0" w:rsidR="00B7060E" w:rsidRPr="00166D67" w:rsidRDefault="00913529" w:rsidP="0059185F">
            <w:pPr>
              <w:jc w:val="left"/>
              <w:rPr>
                <w:sz w:val="17"/>
                <w:szCs w:val="17"/>
              </w:rPr>
            </w:pPr>
            <w:r w:rsidRPr="00166D67">
              <w:rPr>
                <w:sz w:val="17"/>
                <w:szCs w:val="17"/>
              </w:rPr>
              <w:t xml:space="preserve">The CBI has published a </w:t>
            </w:r>
            <w:r w:rsidRPr="00166D67">
              <w:rPr>
                <w:rFonts w:cs="Arial"/>
                <w:sz w:val="17"/>
                <w:szCs w:val="17"/>
              </w:rPr>
              <w:t>Financial Stability Note (</w:t>
            </w:r>
            <w:r w:rsidRPr="00166D67">
              <w:rPr>
                <w:rFonts w:cs="Arial"/>
                <w:b/>
                <w:bCs/>
                <w:sz w:val="17"/>
                <w:szCs w:val="17"/>
              </w:rPr>
              <w:t>FSN</w:t>
            </w:r>
            <w:r w:rsidRPr="00166D67">
              <w:rPr>
                <w:rFonts w:cs="Arial"/>
                <w:sz w:val="17"/>
                <w:szCs w:val="17"/>
              </w:rPr>
              <w:t>), entitled "</w:t>
            </w:r>
            <w:hyperlink r:id="rId81" w:history="1">
              <w:r w:rsidRPr="00166D67">
                <w:rPr>
                  <w:rStyle w:val="Hyperlink"/>
                  <w:rFonts w:cs="Arial"/>
                  <w:sz w:val="17"/>
                  <w:szCs w:val="17"/>
                </w:rPr>
                <w:t>SME finances, the pandemic, and the design of enterprise support policies</w:t>
              </w:r>
            </w:hyperlink>
            <w:r w:rsidRPr="00166D67">
              <w:rPr>
                <w:rFonts w:cs="Arial"/>
                <w:sz w:val="17"/>
                <w:szCs w:val="17"/>
              </w:rPr>
              <w:t>" which discusses the likely losses</w:t>
            </w:r>
            <w:r w:rsidR="004D224A" w:rsidRPr="00166D67">
              <w:rPr>
                <w:rFonts w:cs="Arial"/>
                <w:sz w:val="17"/>
                <w:szCs w:val="17"/>
              </w:rPr>
              <w:t xml:space="preserve"> to be experienced</w:t>
            </w:r>
            <w:r w:rsidRPr="00166D67">
              <w:rPr>
                <w:rFonts w:cs="Arial"/>
                <w:sz w:val="17"/>
                <w:szCs w:val="17"/>
              </w:rPr>
              <w:t xml:space="preserve"> in the SME sector for 2020 and the potential supports required. It notes that direct fiscal supports have provided significant financial support for the SME sector but that challenges remain. </w:t>
            </w:r>
            <w:r w:rsidR="004D224A" w:rsidRPr="00166D67">
              <w:rPr>
                <w:rFonts w:cs="Arial"/>
                <w:sz w:val="17"/>
                <w:szCs w:val="17"/>
              </w:rPr>
              <w:t xml:space="preserve">Albeit uncertain, the FSN estimates revenue shortfalls for 2020 between €10.3bn and €11.7bn across the SME sector. It </w:t>
            </w:r>
            <w:r w:rsidR="00587843" w:rsidRPr="00166D67">
              <w:rPr>
                <w:rFonts w:cs="Arial"/>
                <w:sz w:val="17"/>
                <w:szCs w:val="17"/>
              </w:rPr>
              <w:t xml:space="preserve">also </w:t>
            </w:r>
            <w:r w:rsidR="004D224A" w:rsidRPr="00166D67">
              <w:rPr>
                <w:rFonts w:cs="Arial"/>
                <w:sz w:val="17"/>
                <w:szCs w:val="17"/>
              </w:rPr>
              <w:t xml:space="preserve">notes that the shortfalls might be mitigated by a combination of the utilisation of pre-existing cash reserves, draw-down of existing credit commitments, new borrowing, additional cost reductions or loss-sharing, governmental non-wage grants, reliefs and guaranteed loans. </w:t>
            </w:r>
          </w:p>
        </w:tc>
      </w:tr>
      <w:tr w:rsidR="00226012" w:rsidRPr="00166D67" w14:paraId="000E745B" w14:textId="77777777" w:rsidTr="003E651E">
        <w:trPr>
          <w:cantSplit/>
        </w:trPr>
        <w:tc>
          <w:tcPr>
            <w:tcW w:w="1097" w:type="dxa"/>
            <w:shd w:val="clear" w:color="auto" w:fill="auto"/>
          </w:tcPr>
          <w:p w14:paraId="14D992D4" w14:textId="0E215EC1" w:rsidR="00226012" w:rsidRPr="007F1827" w:rsidRDefault="00226012" w:rsidP="0059185F">
            <w:pPr>
              <w:jc w:val="left"/>
              <w:rPr>
                <w:b/>
                <w:sz w:val="17"/>
                <w:szCs w:val="17"/>
              </w:rPr>
            </w:pPr>
            <w:r w:rsidRPr="007F1827">
              <w:rPr>
                <w:b/>
                <w:sz w:val="17"/>
                <w:szCs w:val="17"/>
              </w:rPr>
              <w:t>6 October 2020</w:t>
            </w:r>
          </w:p>
        </w:tc>
        <w:tc>
          <w:tcPr>
            <w:tcW w:w="1880" w:type="dxa"/>
            <w:shd w:val="clear" w:color="auto" w:fill="auto"/>
          </w:tcPr>
          <w:p w14:paraId="79E2827D" w14:textId="66290BAA" w:rsidR="00226012" w:rsidRPr="00166D67" w:rsidRDefault="00A324C3" w:rsidP="0059185F">
            <w:pPr>
              <w:jc w:val="left"/>
              <w:rPr>
                <w:sz w:val="17"/>
                <w:szCs w:val="17"/>
              </w:rPr>
            </w:pPr>
            <w:hyperlink r:id="rId82" w:history="1">
              <w:r w:rsidR="00226012" w:rsidRPr="00166D67">
                <w:rPr>
                  <w:rStyle w:val="Hyperlink"/>
                  <w:sz w:val="17"/>
                  <w:szCs w:val="17"/>
                </w:rPr>
                <w:t xml:space="preserve">Gradual economic recovery forecast subject to Covid-19 and </w:t>
              </w:r>
              <w:proofErr w:type="spellStart"/>
              <w:r w:rsidR="00226012" w:rsidRPr="00166D67">
                <w:rPr>
                  <w:rStyle w:val="Hyperlink"/>
                  <w:sz w:val="17"/>
                  <w:szCs w:val="17"/>
                </w:rPr>
                <w:t>Brexit</w:t>
              </w:r>
              <w:proofErr w:type="spellEnd"/>
              <w:r w:rsidR="00226012" w:rsidRPr="00166D67">
                <w:rPr>
                  <w:rStyle w:val="Hyperlink"/>
                  <w:sz w:val="17"/>
                  <w:szCs w:val="17"/>
                </w:rPr>
                <w:t xml:space="preserve"> risks</w:t>
              </w:r>
            </w:hyperlink>
          </w:p>
        </w:tc>
        <w:tc>
          <w:tcPr>
            <w:tcW w:w="1819" w:type="dxa"/>
            <w:shd w:val="clear" w:color="auto" w:fill="auto"/>
          </w:tcPr>
          <w:p w14:paraId="01B4ED73" w14:textId="77777777" w:rsidR="00226012" w:rsidRPr="00166D67" w:rsidRDefault="00226012" w:rsidP="0059185F">
            <w:pPr>
              <w:jc w:val="left"/>
              <w:rPr>
                <w:color w:val="FF0000"/>
                <w:sz w:val="17"/>
                <w:szCs w:val="17"/>
              </w:rPr>
            </w:pPr>
          </w:p>
        </w:tc>
        <w:tc>
          <w:tcPr>
            <w:tcW w:w="2155" w:type="dxa"/>
            <w:shd w:val="clear" w:color="auto" w:fill="auto"/>
          </w:tcPr>
          <w:p w14:paraId="150607F5" w14:textId="26574EDC" w:rsidR="00226012" w:rsidRPr="00166D67" w:rsidRDefault="00226012" w:rsidP="0059185F">
            <w:pPr>
              <w:jc w:val="left"/>
              <w:rPr>
                <w:sz w:val="17"/>
                <w:szCs w:val="17"/>
              </w:rPr>
            </w:pPr>
            <w:r w:rsidRPr="00166D67">
              <w:rPr>
                <w:sz w:val="17"/>
                <w:szCs w:val="17"/>
              </w:rPr>
              <w:t>All Regulated Financial Services Providers and Consumers</w:t>
            </w:r>
          </w:p>
        </w:tc>
        <w:tc>
          <w:tcPr>
            <w:tcW w:w="5523" w:type="dxa"/>
            <w:shd w:val="clear" w:color="auto" w:fill="auto"/>
          </w:tcPr>
          <w:p w14:paraId="31B28286" w14:textId="3D3554C4" w:rsidR="00A538C2" w:rsidRPr="00166D67" w:rsidRDefault="00226012" w:rsidP="0059185F">
            <w:pPr>
              <w:jc w:val="left"/>
              <w:rPr>
                <w:sz w:val="17"/>
                <w:szCs w:val="17"/>
              </w:rPr>
            </w:pPr>
            <w:r w:rsidRPr="00166D67">
              <w:rPr>
                <w:sz w:val="17"/>
                <w:szCs w:val="17"/>
              </w:rPr>
              <w:t xml:space="preserve">The CBI has published its </w:t>
            </w:r>
            <w:hyperlink r:id="rId83" w:history="1">
              <w:r w:rsidRPr="00166D67">
                <w:rPr>
                  <w:rStyle w:val="Hyperlink"/>
                  <w:sz w:val="17"/>
                  <w:szCs w:val="17"/>
                </w:rPr>
                <w:t>fourth Quarterly Bulletin of 2020</w:t>
              </w:r>
            </w:hyperlink>
            <w:r w:rsidRPr="00166D67">
              <w:rPr>
                <w:sz w:val="17"/>
                <w:szCs w:val="17"/>
              </w:rPr>
              <w:t xml:space="preserve">. The results show that Irish economic activity has rebounded with the re-opening of the economy but that the recovery is partial and uneven. In particular, levels of domestic economic activity remain below pre-pandemic levels. Domestic demand is expected to decline by 7.3% this year while a decline of 0.4% in GDP is expected. </w:t>
            </w:r>
            <w:r w:rsidR="00A538C2" w:rsidRPr="00166D67">
              <w:rPr>
                <w:sz w:val="17"/>
                <w:szCs w:val="17"/>
              </w:rPr>
              <w:t xml:space="preserve">The outlook for growth in 2021 has also been revised downwards </w:t>
            </w:r>
            <w:proofErr w:type="gramStart"/>
            <w:r w:rsidR="00A538C2" w:rsidRPr="00166D67">
              <w:rPr>
                <w:sz w:val="17"/>
                <w:szCs w:val="17"/>
              </w:rPr>
              <w:t>on  the</w:t>
            </w:r>
            <w:proofErr w:type="gramEnd"/>
            <w:r w:rsidR="00A538C2" w:rsidRPr="00166D67">
              <w:rPr>
                <w:sz w:val="17"/>
                <w:szCs w:val="17"/>
              </w:rPr>
              <w:t xml:space="preserve"> assumption of an EU-UK trading relationship based on WTO rules.</w:t>
            </w:r>
          </w:p>
          <w:p w14:paraId="236BF7CF" w14:textId="640FB052" w:rsidR="00226012" w:rsidRPr="00166D67" w:rsidRDefault="00A538C2" w:rsidP="0059185F">
            <w:pPr>
              <w:jc w:val="left"/>
              <w:rPr>
                <w:sz w:val="17"/>
                <w:szCs w:val="17"/>
              </w:rPr>
            </w:pPr>
            <w:r w:rsidRPr="00166D67">
              <w:rPr>
                <w:sz w:val="17"/>
                <w:szCs w:val="17"/>
              </w:rPr>
              <w:t xml:space="preserve">The Bulletin highlights three areas to consider: </w:t>
            </w:r>
            <w:proofErr w:type="spellStart"/>
            <w:r w:rsidRPr="00166D67">
              <w:rPr>
                <w:sz w:val="17"/>
                <w:szCs w:val="17"/>
              </w:rPr>
              <w:t>i</w:t>
            </w:r>
            <w:proofErr w:type="spellEnd"/>
            <w:r w:rsidRPr="00166D67">
              <w:rPr>
                <w:sz w:val="17"/>
                <w:szCs w:val="17"/>
              </w:rPr>
              <w:t xml:space="preserve">) policy should continue to focus on supporting the productive capacity of the economy and avoid scarring effects; ii) the rise in the deficit and debt rations is warranted and necessary but needs to become more sustainable; and iii) there needs to be a continued focus on building resilience to future shocks. </w:t>
            </w:r>
          </w:p>
        </w:tc>
      </w:tr>
      <w:tr w:rsidR="00FB6CDF" w:rsidRPr="00166D67" w14:paraId="35C7AEF0" w14:textId="77777777" w:rsidTr="003E651E">
        <w:trPr>
          <w:cantSplit/>
        </w:trPr>
        <w:tc>
          <w:tcPr>
            <w:tcW w:w="1097" w:type="dxa"/>
            <w:shd w:val="clear" w:color="auto" w:fill="auto"/>
          </w:tcPr>
          <w:p w14:paraId="3C12E91B" w14:textId="49B94DD3" w:rsidR="00FB6CDF" w:rsidRPr="007F1827" w:rsidRDefault="00FB6CDF" w:rsidP="0059185F">
            <w:pPr>
              <w:jc w:val="left"/>
              <w:rPr>
                <w:b/>
                <w:sz w:val="17"/>
                <w:szCs w:val="17"/>
              </w:rPr>
            </w:pPr>
            <w:r w:rsidRPr="007F1827">
              <w:rPr>
                <w:b/>
                <w:sz w:val="17"/>
                <w:szCs w:val="17"/>
              </w:rPr>
              <w:t>21 October 2020</w:t>
            </w:r>
          </w:p>
        </w:tc>
        <w:tc>
          <w:tcPr>
            <w:tcW w:w="1880" w:type="dxa"/>
            <w:shd w:val="clear" w:color="auto" w:fill="auto"/>
          </w:tcPr>
          <w:p w14:paraId="3C8579F0" w14:textId="525BB79C" w:rsidR="00FB6CDF" w:rsidRPr="00166D67" w:rsidRDefault="00A324C3" w:rsidP="0059185F">
            <w:pPr>
              <w:jc w:val="left"/>
              <w:rPr>
                <w:sz w:val="17"/>
                <w:szCs w:val="17"/>
              </w:rPr>
            </w:pPr>
            <w:hyperlink r:id="rId84" w:history="1">
              <w:r w:rsidR="00844259" w:rsidRPr="00166D67">
                <w:rPr>
                  <w:rStyle w:val="Hyperlink"/>
                  <w:sz w:val="17"/>
                  <w:szCs w:val="17"/>
                </w:rPr>
                <w:t>Economic Letter: The persisting effect of the pandemic on Money Market Funds and money markets (Golden, Vol. 2020, No. 9)</w:t>
              </w:r>
            </w:hyperlink>
          </w:p>
        </w:tc>
        <w:tc>
          <w:tcPr>
            <w:tcW w:w="1819" w:type="dxa"/>
            <w:shd w:val="clear" w:color="auto" w:fill="auto"/>
          </w:tcPr>
          <w:p w14:paraId="67A3D0D0" w14:textId="77777777" w:rsidR="00FB6CDF" w:rsidRPr="00166D67" w:rsidRDefault="00FB6CDF" w:rsidP="0059185F">
            <w:pPr>
              <w:jc w:val="left"/>
              <w:rPr>
                <w:color w:val="FF0000"/>
                <w:sz w:val="17"/>
                <w:szCs w:val="17"/>
              </w:rPr>
            </w:pPr>
          </w:p>
        </w:tc>
        <w:tc>
          <w:tcPr>
            <w:tcW w:w="2155" w:type="dxa"/>
            <w:shd w:val="clear" w:color="auto" w:fill="auto"/>
          </w:tcPr>
          <w:p w14:paraId="128EB998" w14:textId="36037B84" w:rsidR="00FB6CDF" w:rsidRPr="00166D67" w:rsidRDefault="00EC1F8C" w:rsidP="0059185F">
            <w:pPr>
              <w:jc w:val="left"/>
              <w:rPr>
                <w:sz w:val="17"/>
                <w:szCs w:val="17"/>
              </w:rPr>
            </w:pPr>
            <w:r w:rsidRPr="00166D67">
              <w:rPr>
                <w:sz w:val="17"/>
                <w:szCs w:val="17"/>
              </w:rPr>
              <w:t>Money Market Funds</w:t>
            </w:r>
          </w:p>
        </w:tc>
        <w:tc>
          <w:tcPr>
            <w:tcW w:w="5523" w:type="dxa"/>
            <w:shd w:val="clear" w:color="auto" w:fill="auto"/>
          </w:tcPr>
          <w:p w14:paraId="0872C3A1" w14:textId="0D563C30" w:rsidR="00FB6CDF" w:rsidRPr="00166D67" w:rsidRDefault="00EC1F8C" w:rsidP="0059185F">
            <w:pPr>
              <w:jc w:val="left"/>
              <w:rPr>
                <w:sz w:val="17"/>
                <w:szCs w:val="17"/>
              </w:rPr>
            </w:pPr>
            <w:r w:rsidRPr="00166D67">
              <w:rPr>
                <w:sz w:val="17"/>
                <w:szCs w:val="17"/>
              </w:rPr>
              <w:t>Brian Golden, a senior economist with the CBI, published an Economic Letter exami</w:t>
            </w:r>
            <w:r w:rsidR="005E0368" w:rsidRPr="00166D67">
              <w:rPr>
                <w:sz w:val="17"/>
                <w:szCs w:val="17"/>
              </w:rPr>
              <w:t xml:space="preserve">ning </w:t>
            </w:r>
            <w:r w:rsidRPr="00166D67">
              <w:rPr>
                <w:sz w:val="17"/>
                <w:szCs w:val="17"/>
              </w:rPr>
              <w:t xml:space="preserve">the impact of the demand for cash </w:t>
            </w:r>
            <w:r w:rsidR="005E0368" w:rsidRPr="00166D67">
              <w:rPr>
                <w:sz w:val="17"/>
                <w:szCs w:val="17"/>
              </w:rPr>
              <w:t xml:space="preserve">during March to August of this year </w:t>
            </w:r>
            <w:r w:rsidRPr="00166D67">
              <w:rPr>
                <w:sz w:val="17"/>
                <w:szCs w:val="17"/>
              </w:rPr>
              <w:t>on the money markets in general, with a particular focus on Irish-resident Money Market Funds.</w:t>
            </w:r>
            <w:r w:rsidR="005E0368" w:rsidRPr="00166D67">
              <w:rPr>
                <w:sz w:val="17"/>
                <w:szCs w:val="17"/>
              </w:rPr>
              <w:t xml:space="preserve"> He notes that the impact was felt the most in money market debt issued by banks and companies, while liquidity declined in money markets. Mr. Golden also notes that MMCs invested very cautiously in these securities as a response to the demand during this time. </w:t>
            </w:r>
            <w:r w:rsidRPr="00166D67">
              <w:rPr>
                <w:sz w:val="17"/>
                <w:szCs w:val="17"/>
              </w:rPr>
              <w:t xml:space="preserve"> </w:t>
            </w:r>
          </w:p>
        </w:tc>
      </w:tr>
      <w:tr w:rsidR="00844259" w:rsidRPr="00166D67" w14:paraId="4B9EC894" w14:textId="77777777" w:rsidTr="003E651E">
        <w:trPr>
          <w:cantSplit/>
        </w:trPr>
        <w:tc>
          <w:tcPr>
            <w:tcW w:w="1097" w:type="dxa"/>
            <w:shd w:val="clear" w:color="auto" w:fill="auto"/>
          </w:tcPr>
          <w:p w14:paraId="5459B918" w14:textId="0E982169" w:rsidR="00844259" w:rsidRPr="007F1827" w:rsidRDefault="00844259" w:rsidP="0059185F">
            <w:pPr>
              <w:jc w:val="left"/>
              <w:rPr>
                <w:b/>
                <w:sz w:val="17"/>
                <w:szCs w:val="17"/>
              </w:rPr>
            </w:pPr>
            <w:r w:rsidRPr="007F1827">
              <w:rPr>
                <w:b/>
                <w:sz w:val="17"/>
                <w:szCs w:val="17"/>
              </w:rPr>
              <w:t>21 October 2020</w:t>
            </w:r>
          </w:p>
        </w:tc>
        <w:tc>
          <w:tcPr>
            <w:tcW w:w="1880" w:type="dxa"/>
            <w:shd w:val="clear" w:color="auto" w:fill="auto"/>
          </w:tcPr>
          <w:p w14:paraId="111EB25A" w14:textId="5B130A58" w:rsidR="00844259" w:rsidRPr="00166D67" w:rsidRDefault="00A324C3" w:rsidP="0059185F">
            <w:pPr>
              <w:jc w:val="left"/>
              <w:rPr>
                <w:sz w:val="17"/>
                <w:szCs w:val="17"/>
              </w:rPr>
            </w:pPr>
            <w:hyperlink r:id="rId85" w:history="1">
              <w:r w:rsidR="00844259" w:rsidRPr="00166D67">
                <w:rPr>
                  <w:rStyle w:val="Hyperlink"/>
                  <w:sz w:val="17"/>
                  <w:szCs w:val="17"/>
                </w:rPr>
                <w:t>Financial Stability Notes: Repricing of risk and EME assets, the behaviour of Irish –domiciled funds during COVID-19 crisis (</w:t>
              </w:r>
              <w:proofErr w:type="spellStart"/>
              <w:r w:rsidR="00844259" w:rsidRPr="00166D67">
                <w:rPr>
                  <w:rStyle w:val="Hyperlink"/>
                  <w:sz w:val="17"/>
                  <w:szCs w:val="17"/>
                </w:rPr>
                <w:t>Calo</w:t>
              </w:r>
              <w:proofErr w:type="spellEnd"/>
              <w:r w:rsidR="00844259" w:rsidRPr="00166D67">
                <w:rPr>
                  <w:rStyle w:val="Hyperlink"/>
                  <w:sz w:val="17"/>
                  <w:szCs w:val="17"/>
                </w:rPr>
                <w:t xml:space="preserve">, </w:t>
              </w:r>
              <w:proofErr w:type="spellStart"/>
              <w:r w:rsidR="00844259" w:rsidRPr="00166D67">
                <w:rPr>
                  <w:rStyle w:val="Hyperlink"/>
                  <w:sz w:val="17"/>
                  <w:szCs w:val="17"/>
                </w:rPr>
                <w:t>Emter</w:t>
              </w:r>
              <w:proofErr w:type="spellEnd"/>
              <w:r w:rsidR="00844259" w:rsidRPr="00166D67">
                <w:rPr>
                  <w:rStyle w:val="Hyperlink"/>
                  <w:sz w:val="17"/>
                  <w:szCs w:val="17"/>
                </w:rPr>
                <w:t xml:space="preserve"> and </w:t>
              </w:r>
              <w:proofErr w:type="spellStart"/>
              <w:r w:rsidR="00844259" w:rsidRPr="00166D67">
                <w:rPr>
                  <w:rStyle w:val="Hyperlink"/>
                  <w:sz w:val="17"/>
                  <w:szCs w:val="17"/>
                </w:rPr>
                <w:t>Galstyan</w:t>
              </w:r>
              <w:proofErr w:type="spellEnd"/>
              <w:r w:rsidR="00844259" w:rsidRPr="00166D67">
                <w:rPr>
                  <w:rStyle w:val="Hyperlink"/>
                  <w:sz w:val="17"/>
                  <w:szCs w:val="17"/>
                </w:rPr>
                <w:t>)</w:t>
              </w:r>
            </w:hyperlink>
          </w:p>
        </w:tc>
        <w:tc>
          <w:tcPr>
            <w:tcW w:w="1819" w:type="dxa"/>
            <w:shd w:val="clear" w:color="auto" w:fill="auto"/>
          </w:tcPr>
          <w:p w14:paraId="61ACD7FF" w14:textId="77777777" w:rsidR="00844259" w:rsidRPr="00166D67" w:rsidRDefault="00844259" w:rsidP="0059185F">
            <w:pPr>
              <w:jc w:val="left"/>
              <w:rPr>
                <w:color w:val="FF0000"/>
                <w:sz w:val="17"/>
                <w:szCs w:val="17"/>
              </w:rPr>
            </w:pPr>
          </w:p>
        </w:tc>
        <w:tc>
          <w:tcPr>
            <w:tcW w:w="2155" w:type="dxa"/>
            <w:shd w:val="clear" w:color="auto" w:fill="auto"/>
          </w:tcPr>
          <w:p w14:paraId="3EE73F68" w14:textId="716D36AC" w:rsidR="00844259" w:rsidRPr="00166D67" w:rsidRDefault="004E768E" w:rsidP="0059185F">
            <w:pPr>
              <w:jc w:val="left"/>
              <w:rPr>
                <w:sz w:val="17"/>
                <w:szCs w:val="17"/>
              </w:rPr>
            </w:pPr>
            <w:r w:rsidRPr="00166D67">
              <w:rPr>
                <w:sz w:val="17"/>
                <w:szCs w:val="17"/>
              </w:rPr>
              <w:t xml:space="preserve">Emerging Market Economies; Funds </w:t>
            </w:r>
          </w:p>
        </w:tc>
        <w:tc>
          <w:tcPr>
            <w:tcW w:w="5523" w:type="dxa"/>
            <w:shd w:val="clear" w:color="auto" w:fill="auto"/>
          </w:tcPr>
          <w:p w14:paraId="48785697" w14:textId="05D76092" w:rsidR="00844259" w:rsidRPr="00166D67" w:rsidRDefault="005F6D5B" w:rsidP="0059185F">
            <w:pPr>
              <w:jc w:val="left"/>
              <w:rPr>
                <w:sz w:val="17"/>
                <w:szCs w:val="17"/>
              </w:rPr>
            </w:pPr>
            <w:r w:rsidRPr="00166D67">
              <w:rPr>
                <w:sz w:val="17"/>
                <w:szCs w:val="17"/>
              </w:rPr>
              <w:t xml:space="preserve">The CBI has published a </w:t>
            </w:r>
            <w:r w:rsidRPr="00166D67">
              <w:rPr>
                <w:rFonts w:cs="Arial"/>
                <w:sz w:val="17"/>
                <w:szCs w:val="17"/>
              </w:rPr>
              <w:t>Financial Stability Note (</w:t>
            </w:r>
            <w:r w:rsidRPr="00166D67">
              <w:rPr>
                <w:rFonts w:cs="Arial"/>
                <w:b/>
                <w:bCs/>
                <w:sz w:val="17"/>
                <w:szCs w:val="17"/>
              </w:rPr>
              <w:t>FSN</w:t>
            </w:r>
            <w:r w:rsidRPr="00166D67">
              <w:rPr>
                <w:rFonts w:cs="Arial"/>
                <w:sz w:val="17"/>
                <w:szCs w:val="17"/>
              </w:rPr>
              <w:t>) entitled "Repricing of risk and EME assets: the behaviour of Irish-domiciled funds during the COVID-19 crisis" which looks at the Irish-domiciled funds</w:t>
            </w:r>
            <w:r w:rsidR="004E768E" w:rsidRPr="00166D67">
              <w:rPr>
                <w:rFonts w:cs="Arial"/>
                <w:sz w:val="17"/>
                <w:szCs w:val="17"/>
              </w:rPr>
              <w:t>'</w:t>
            </w:r>
            <w:r w:rsidRPr="00166D67">
              <w:rPr>
                <w:rFonts w:cs="Arial"/>
                <w:sz w:val="17"/>
                <w:szCs w:val="17"/>
              </w:rPr>
              <w:t xml:space="preserve"> contribution to the emerging market economies (</w:t>
            </w:r>
            <w:r w:rsidRPr="00166D67">
              <w:rPr>
                <w:rFonts w:cs="Arial"/>
                <w:b/>
                <w:sz w:val="17"/>
                <w:szCs w:val="17"/>
              </w:rPr>
              <w:t>EMEs</w:t>
            </w:r>
            <w:r w:rsidRPr="00166D67">
              <w:rPr>
                <w:rFonts w:cs="Arial"/>
                <w:sz w:val="17"/>
                <w:szCs w:val="17"/>
              </w:rPr>
              <w:t xml:space="preserve">) who experienced significant outflows of portfolio investment capital during Q1 2020. It notes that the retrenchment for the Irish-domiciled funds was greater for debt, rather than equity, securities and was also bigger for hedge funds but overall, the FSN </w:t>
            </w:r>
            <w:r w:rsidR="009340AC" w:rsidRPr="00166D67">
              <w:rPr>
                <w:rFonts w:cs="Arial"/>
                <w:sz w:val="17"/>
                <w:szCs w:val="17"/>
              </w:rPr>
              <w:t>found</w:t>
            </w:r>
            <w:r w:rsidRPr="00166D67">
              <w:rPr>
                <w:rFonts w:cs="Arial"/>
                <w:sz w:val="17"/>
                <w:szCs w:val="17"/>
              </w:rPr>
              <w:t xml:space="preserve"> that the retrenchment was less than what was expected. It notes that this may be because Irish funds sold more liquid advanced economy securities. The FSN also </w:t>
            </w:r>
            <w:r w:rsidR="009340AC" w:rsidRPr="00166D67">
              <w:rPr>
                <w:rFonts w:cs="Arial"/>
                <w:sz w:val="17"/>
                <w:szCs w:val="17"/>
              </w:rPr>
              <w:t>found</w:t>
            </w:r>
            <w:r w:rsidRPr="00166D67">
              <w:rPr>
                <w:rFonts w:cs="Arial"/>
                <w:sz w:val="17"/>
                <w:szCs w:val="17"/>
              </w:rPr>
              <w:t xml:space="preserve"> that countries with the strongest fundamentals were somewhat cushioned from the retrenchment and that valuation effects were the strongest in relation to EMEs with more flexible exchange rate regimes. </w:t>
            </w:r>
          </w:p>
        </w:tc>
      </w:tr>
      <w:tr w:rsidR="008B50AD" w:rsidRPr="00166D67" w14:paraId="6088784D" w14:textId="77777777" w:rsidTr="003E651E">
        <w:trPr>
          <w:cantSplit/>
        </w:trPr>
        <w:tc>
          <w:tcPr>
            <w:tcW w:w="1097" w:type="dxa"/>
            <w:shd w:val="clear" w:color="auto" w:fill="auto"/>
          </w:tcPr>
          <w:p w14:paraId="01FA153E" w14:textId="139B1310" w:rsidR="008B50AD" w:rsidRPr="007F1827" w:rsidRDefault="008B50AD" w:rsidP="0059185F">
            <w:pPr>
              <w:jc w:val="left"/>
              <w:rPr>
                <w:b/>
                <w:sz w:val="17"/>
                <w:szCs w:val="17"/>
              </w:rPr>
            </w:pPr>
            <w:r w:rsidRPr="007F1827">
              <w:rPr>
                <w:b/>
                <w:sz w:val="17"/>
                <w:szCs w:val="17"/>
              </w:rPr>
              <w:t>22 October 2020</w:t>
            </w:r>
          </w:p>
        </w:tc>
        <w:tc>
          <w:tcPr>
            <w:tcW w:w="1880" w:type="dxa"/>
            <w:shd w:val="clear" w:color="auto" w:fill="auto"/>
          </w:tcPr>
          <w:p w14:paraId="720DA7FD" w14:textId="6208FA51" w:rsidR="008B50AD" w:rsidRPr="00166D67" w:rsidRDefault="00A324C3" w:rsidP="0059185F">
            <w:pPr>
              <w:jc w:val="left"/>
              <w:rPr>
                <w:sz w:val="17"/>
                <w:szCs w:val="17"/>
              </w:rPr>
            </w:pPr>
            <w:hyperlink r:id="rId86" w:history="1">
              <w:r w:rsidR="008B50AD" w:rsidRPr="00166D67">
                <w:rPr>
                  <w:rStyle w:val="Hyperlink"/>
                  <w:sz w:val="17"/>
                  <w:szCs w:val="17"/>
                </w:rPr>
                <w:t xml:space="preserve">Solving the economic crisis will be dependent on our ability to manage the health crisis as a healthy economy needs a healthy workforce, healthy consumers and a healthy community – Governor </w:t>
              </w:r>
              <w:proofErr w:type="spellStart"/>
              <w:r w:rsidR="008B50AD" w:rsidRPr="00166D67">
                <w:rPr>
                  <w:rStyle w:val="Hyperlink"/>
                  <w:sz w:val="17"/>
                  <w:szCs w:val="17"/>
                </w:rPr>
                <w:t>Makhlouf</w:t>
              </w:r>
              <w:proofErr w:type="spellEnd"/>
            </w:hyperlink>
          </w:p>
        </w:tc>
        <w:tc>
          <w:tcPr>
            <w:tcW w:w="1819" w:type="dxa"/>
            <w:shd w:val="clear" w:color="auto" w:fill="auto"/>
          </w:tcPr>
          <w:p w14:paraId="10F28529" w14:textId="77777777" w:rsidR="008B50AD" w:rsidRPr="00166D67" w:rsidRDefault="008B50AD" w:rsidP="0059185F">
            <w:pPr>
              <w:jc w:val="left"/>
              <w:rPr>
                <w:color w:val="FF0000"/>
                <w:sz w:val="17"/>
                <w:szCs w:val="17"/>
              </w:rPr>
            </w:pPr>
          </w:p>
        </w:tc>
        <w:tc>
          <w:tcPr>
            <w:tcW w:w="2155" w:type="dxa"/>
            <w:shd w:val="clear" w:color="auto" w:fill="auto"/>
          </w:tcPr>
          <w:p w14:paraId="42EB1DD5" w14:textId="2A80B68C" w:rsidR="008B50AD" w:rsidRPr="00166D67" w:rsidRDefault="008B50AD" w:rsidP="0059185F">
            <w:pPr>
              <w:jc w:val="left"/>
              <w:rPr>
                <w:sz w:val="17"/>
                <w:szCs w:val="17"/>
              </w:rPr>
            </w:pPr>
            <w:r w:rsidRPr="00166D67">
              <w:rPr>
                <w:sz w:val="17"/>
                <w:szCs w:val="17"/>
              </w:rPr>
              <w:t>All Regulated Financial Services Providers and Consumers</w:t>
            </w:r>
          </w:p>
        </w:tc>
        <w:tc>
          <w:tcPr>
            <w:tcW w:w="5523" w:type="dxa"/>
            <w:shd w:val="clear" w:color="auto" w:fill="auto"/>
          </w:tcPr>
          <w:p w14:paraId="50E44719" w14:textId="6C5E0903" w:rsidR="008B50AD" w:rsidRPr="00166D67" w:rsidRDefault="008B50AD" w:rsidP="0059185F">
            <w:pPr>
              <w:jc w:val="left"/>
              <w:rPr>
                <w:sz w:val="17"/>
                <w:szCs w:val="17"/>
              </w:rPr>
            </w:pPr>
            <w:r w:rsidRPr="00166D67">
              <w:rPr>
                <w:sz w:val="17"/>
                <w:szCs w:val="17"/>
              </w:rPr>
              <w:t xml:space="preserve">On 21 October 2020, Governor </w:t>
            </w:r>
            <w:proofErr w:type="spellStart"/>
            <w:r w:rsidRPr="00166D67">
              <w:rPr>
                <w:sz w:val="17"/>
                <w:szCs w:val="17"/>
              </w:rPr>
              <w:t>Makhlouf</w:t>
            </w:r>
            <w:proofErr w:type="spellEnd"/>
            <w:r w:rsidRPr="00166D67">
              <w:rPr>
                <w:sz w:val="17"/>
                <w:szCs w:val="17"/>
              </w:rPr>
              <w:t xml:space="preserve">, Deputy Governor Ed Sibley and Director General </w:t>
            </w:r>
            <w:proofErr w:type="spellStart"/>
            <w:r w:rsidRPr="00166D67">
              <w:rPr>
                <w:sz w:val="17"/>
                <w:szCs w:val="17"/>
              </w:rPr>
              <w:t>Derville</w:t>
            </w:r>
            <w:proofErr w:type="spellEnd"/>
            <w:r w:rsidRPr="00166D67">
              <w:rPr>
                <w:sz w:val="17"/>
                <w:szCs w:val="17"/>
              </w:rPr>
              <w:t xml:space="preserve"> Rowland appeared before the Taoiseach and the </w:t>
            </w:r>
            <w:proofErr w:type="spellStart"/>
            <w:r w:rsidRPr="00166D67">
              <w:rPr>
                <w:sz w:val="17"/>
                <w:szCs w:val="17"/>
              </w:rPr>
              <w:t>Oireachtas</w:t>
            </w:r>
            <w:proofErr w:type="spellEnd"/>
            <w:r w:rsidRPr="00166D67">
              <w:rPr>
                <w:sz w:val="17"/>
                <w:szCs w:val="17"/>
              </w:rPr>
              <w:t xml:space="preserve"> Committee on Finance, Public Expenditure and Reform where Governor </w:t>
            </w:r>
            <w:proofErr w:type="spellStart"/>
            <w:r w:rsidRPr="00166D67">
              <w:rPr>
                <w:sz w:val="17"/>
                <w:szCs w:val="17"/>
              </w:rPr>
              <w:t>Makhlouf</w:t>
            </w:r>
            <w:proofErr w:type="spellEnd"/>
            <w:r w:rsidRPr="00166D67">
              <w:rPr>
                <w:sz w:val="17"/>
                <w:szCs w:val="17"/>
              </w:rPr>
              <w:t xml:space="preserve"> provided an overview of the CBI's assessment of the impact of the </w:t>
            </w:r>
            <w:r w:rsidR="009A3185" w:rsidRPr="00166D67">
              <w:rPr>
                <w:sz w:val="17"/>
                <w:szCs w:val="17"/>
              </w:rPr>
              <w:t xml:space="preserve">recently imposed </w:t>
            </w:r>
            <w:r w:rsidRPr="00166D67">
              <w:rPr>
                <w:sz w:val="17"/>
                <w:szCs w:val="17"/>
              </w:rPr>
              <w:t>Level 5 restrictions. He outlined that the solution to the economic crisis will be dependent on how</w:t>
            </w:r>
            <w:r w:rsidR="009A3185" w:rsidRPr="00166D67">
              <w:rPr>
                <w:sz w:val="17"/>
                <w:szCs w:val="17"/>
              </w:rPr>
              <w:t xml:space="preserve"> the health crisis is managed. Following the imposition of Level 5 restrictions, </w:t>
            </w:r>
            <w:r w:rsidRPr="00166D67">
              <w:rPr>
                <w:sz w:val="17"/>
                <w:szCs w:val="17"/>
              </w:rPr>
              <w:t xml:space="preserve">Governor </w:t>
            </w:r>
            <w:proofErr w:type="spellStart"/>
            <w:r w:rsidRPr="00166D67">
              <w:rPr>
                <w:sz w:val="17"/>
                <w:szCs w:val="17"/>
              </w:rPr>
              <w:t>Makhlouf</w:t>
            </w:r>
            <w:proofErr w:type="spellEnd"/>
            <w:r w:rsidRPr="00166D67">
              <w:rPr>
                <w:sz w:val="17"/>
                <w:szCs w:val="17"/>
              </w:rPr>
              <w:t xml:space="preserve"> noted that the CBI will continue to en</w:t>
            </w:r>
            <w:r w:rsidR="009A3185" w:rsidRPr="00166D67">
              <w:rPr>
                <w:sz w:val="17"/>
                <w:szCs w:val="17"/>
              </w:rPr>
              <w:t xml:space="preserve">gage with lenders and the BPFI. He further noted that the CBI expects lenders to deliver appropriate and sustainable solutions for borrowers and to provide interim measures while the financial position of borrowers is being assessed and/or determined. </w:t>
            </w:r>
          </w:p>
        </w:tc>
      </w:tr>
      <w:tr w:rsidR="00755E03" w:rsidRPr="00166D67" w14:paraId="2DB54916" w14:textId="77777777" w:rsidTr="003E651E">
        <w:trPr>
          <w:cantSplit/>
        </w:trPr>
        <w:tc>
          <w:tcPr>
            <w:tcW w:w="1097" w:type="dxa"/>
            <w:shd w:val="clear" w:color="auto" w:fill="auto"/>
          </w:tcPr>
          <w:p w14:paraId="6B61AF68" w14:textId="66E51794" w:rsidR="00755E03" w:rsidRPr="007F1827" w:rsidRDefault="00755E03" w:rsidP="0059185F">
            <w:pPr>
              <w:jc w:val="left"/>
              <w:rPr>
                <w:b/>
                <w:sz w:val="17"/>
                <w:szCs w:val="17"/>
              </w:rPr>
            </w:pPr>
            <w:r w:rsidRPr="007F1827">
              <w:rPr>
                <w:b/>
                <w:sz w:val="17"/>
                <w:szCs w:val="17"/>
              </w:rPr>
              <w:t>23 October 2020</w:t>
            </w:r>
          </w:p>
        </w:tc>
        <w:tc>
          <w:tcPr>
            <w:tcW w:w="1880" w:type="dxa"/>
            <w:shd w:val="clear" w:color="auto" w:fill="auto"/>
          </w:tcPr>
          <w:p w14:paraId="1D932BC2" w14:textId="3C221A33" w:rsidR="00755E03" w:rsidRPr="00166D67" w:rsidRDefault="00A324C3" w:rsidP="0059185F">
            <w:pPr>
              <w:jc w:val="left"/>
              <w:rPr>
                <w:sz w:val="17"/>
                <w:szCs w:val="17"/>
              </w:rPr>
            </w:pPr>
            <w:hyperlink r:id="rId87" w:history="1">
              <w:r w:rsidR="00755E03" w:rsidRPr="00166D67">
                <w:rPr>
                  <w:rStyle w:val="Hyperlink"/>
                  <w:sz w:val="17"/>
                  <w:szCs w:val="17"/>
                </w:rPr>
                <w:t>Economic Letters: Policy response to COVID-19 provides essential support to Western counties</w:t>
              </w:r>
            </w:hyperlink>
          </w:p>
        </w:tc>
        <w:tc>
          <w:tcPr>
            <w:tcW w:w="1819" w:type="dxa"/>
            <w:shd w:val="clear" w:color="auto" w:fill="auto"/>
          </w:tcPr>
          <w:p w14:paraId="3202786F" w14:textId="77777777" w:rsidR="00755E03" w:rsidRPr="00166D67" w:rsidRDefault="00755E03" w:rsidP="0059185F">
            <w:pPr>
              <w:jc w:val="left"/>
              <w:rPr>
                <w:color w:val="FF0000"/>
                <w:sz w:val="17"/>
                <w:szCs w:val="17"/>
              </w:rPr>
            </w:pPr>
          </w:p>
        </w:tc>
        <w:tc>
          <w:tcPr>
            <w:tcW w:w="2155" w:type="dxa"/>
            <w:shd w:val="clear" w:color="auto" w:fill="auto"/>
          </w:tcPr>
          <w:p w14:paraId="23D314B1" w14:textId="77777777" w:rsidR="00755E03" w:rsidRPr="00166D67" w:rsidRDefault="00755E03" w:rsidP="0059185F">
            <w:pPr>
              <w:jc w:val="left"/>
              <w:rPr>
                <w:sz w:val="17"/>
                <w:szCs w:val="17"/>
              </w:rPr>
            </w:pPr>
          </w:p>
        </w:tc>
        <w:tc>
          <w:tcPr>
            <w:tcW w:w="5523" w:type="dxa"/>
            <w:shd w:val="clear" w:color="auto" w:fill="auto"/>
          </w:tcPr>
          <w:p w14:paraId="73CD8006" w14:textId="1F6EEAD1" w:rsidR="00755E03" w:rsidRPr="00166D67" w:rsidRDefault="00755E03" w:rsidP="0059185F">
            <w:pPr>
              <w:jc w:val="left"/>
              <w:rPr>
                <w:sz w:val="17"/>
                <w:szCs w:val="17"/>
              </w:rPr>
            </w:pPr>
            <w:r w:rsidRPr="00166D67">
              <w:rPr>
                <w:sz w:val="17"/>
                <w:szCs w:val="17"/>
              </w:rPr>
              <w:t xml:space="preserve">On the 23 October 2020, the CBI published two economic letters. The first, entitled </w:t>
            </w:r>
            <w:hyperlink r:id="rId88" w:history="1">
              <w:r w:rsidRPr="00166D67">
                <w:rPr>
                  <w:rStyle w:val="Hyperlink"/>
                  <w:sz w:val="17"/>
                  <w:szCs w:val="17"/>
                </w:rPr>
                <w:t>'Regional impact of COVID-19: Western Region &amp; Atlantic Economic Corridor'</w:t>
              </w:r>
            </w:hyperlink>
            <w:r w:rsidRPr="00166D67">
              <w:rPr>
                <w:sz w:val="17"/>
                <w:szCs w:val="17"/>
              </w:rPr>
              <w:t xml:space="preserve"> examines the impact of COVID-19 on the labour market in the region including a review of the role played by the Pandemic Unemployment Payment and the Employment Wage Subsidy Scheme. The second, entitled </w:t>
            </w:r>
            <w:hyperlink r:id="rId89" w:history="1">
              <w:r w:rsidRPr="00166D67">
                <w:rPr>
                  <w:rStyle w:val="Hyperlink"/>
                  <w:sz w:val="17"/>
                  <w:szCs w:val="17"/>
                </w:rPr>
                <w:t>'Wage subsidies and job retention'</w:t>
              </w:r>
            </w:hyperlink>
            <w:r w:rsidRPr="00166D67">
              <w:rPr>
                <w:sz w:val="17"/>
                <w:szCs w:val="17"/>
              </w:rPr>
              <w:t xml:space="preserve"> examines how wage subsidies have assisted job retention over the past few months. The first economic letter will assist in the economic recovery planning for the West of Ireland and highlights the essential nature of the policies in place to support household incomes and firms while restrictions continue. </w:t>
            </w:r>
            <w:r w:rsidR="000C7E91" w:rsidRPr="00166D67">
              <w:rPr>
                <w:sz w:val="17"/>
                <w:szCs w:val="17"/>
              </w:rPr>
              <w:t>The second economic letter outlines the importance of liquidity supports for firms, income supports for works and job retention amongst the priorities of the approach to be taken. Furthermore, it notes th</w:t>
            </w:r>
            <w:r w:rsidR="006D3915" w:rsidRPr="00166D67">
              <w:rPr>
                <w:sz w:val="17"/>
                <w:szCs w:val="17"/>
              </w:rPr>
              <w:t>e importance of</w:t>
            </w:r>
            <w:r w:rsidR="000C7E91" w:rsidRPr="00166D67">
              <w:rPr>
                <w:sz w:val="17"/>
                <w:szCs w:val="17"/>
              </w:rPr>
              <w:t xml:space="preserve"> active labour market programmes</w:t>
            </w:r>
            <w:r w:rsidR="006D3915" w:rsidRPr="00166D67">
              <w:rPr>
                <w:sz w:val="17"/>
                <w:szCs w:val="17"/>
              </w:rPr>
              <w:t xml:space="preserve"> in addressing </w:t>
            </w:r>
            <w:proofErr w:type="gramStart"/>
            <w:r w:rsidR="006D3915" w:rsidRPr="00166D67">
              <w:rPr>
                <w:sz w:val="17"/>
                <w:szCs w:val="17"/>
              </w:rPr>
              <w:t>the 're</w:t>
            </w:r>
            <w:proofErr w:type="gramEnd"/>
            <w:r w:rsidR="006D3915" w:rsidRPr="00166D67">
              <w:rPr>
                <w:sz w:val="17"/>
                <w:szCs w:val="17"/>
              </w:rPr>
              <w:t xml:space="preserve">-employment' challenge. </w:t>
            </w:r>
          </w:p>
        </w:tc>
      </w:tr>
      <w:tr w:rsidR="00355EC5" w:rsidRPr="00166D67" w14:paraId="1FBDCB16" w14:textId="77777777" w:rsidTr="003E651E">
        <w:trPr>
          <w:cantSplit/>
        </w:trPr>
        <w:tc>
          <w:tcPr>
            <w:tcW w:w="1097" w:type="dxa"/>
            <w:shd w:val="clear" w:color="auto" w:fill="auto"/>
          </w:tcPr>
          <w:p w14:paraId="553E35B9" w14:textId="79CA2145" w:rsidR="00355EC5" w:rsidRPr="007F1827" w:rsidRDefault="00355EC5" w:rsidP="0059185F">
            <w:pPr>
              <w:jc w:val="left"/>
              <w:rPr>
                <w:b/>
                <w:sz w:val="17"/>
                <w:szCs w:val="17"/>
              </w:rPr>
            </w:pPr>
            <w:r w:rsidRPr="007F1827">
              <w:rPr>
                <w:b/>
                <w:sz w:val="17"/>
                <w:szCs w:val="17"/>
              </w:rPr>
              <w:t>5 November 2020</w:t>
            </w:r>
          </w:p>
        </w:tc>
        <w:tc>
          <w:tcPr>
            <w:tcW w:w="1880" w:type="dxa"/>
            <w:shd w:val="clear" w:color="auto" w:fill="auto"/>
          </w:tcPr>
          <w:p w14:paraId="4E9FDC4A" w14:textId="0DB7CBBC" w:rsidR="00355EC5" w:rsidRPr="00166D67" w:rsidRDefault="00A324C3" w:rsidP="0059185F">
            <w:pPr>
              <w:jc w:val="left"/>
              <w:rPr>
                <w:sz w:val="17"/>
                <w:szCs w:val="17"/>
              </w:rPr>
            </w:pPr>
            <w:hyperlink r:id="rId90" w:history="1">
              <w:r w:rsidR="00355EC5" w:rsidRPr="00166D67">
                <w:rPr>
                  <w:rStyle w:val="Hyperlink"/>
                  <w:sz w:val="17"/>
                  <w:szCs w:val="17"/>
                </w:rPr>
                <w:t>Update to the COVID-19 Prudential Regulatory Flexibility Measures for Credit Institutions</w:t>
              </w:r>
            </w:hyperlink>
          </w:p>
        </w:tc>
        <w:tc>
          <w:tcPr>
            <w:tcW w:w="1819" w:type="dxa"/>
            <w:shd w:val="clear" w:color="auto" w:fill="auto"/>
          </w:tcPr>
          <w:p w14:paraId="65D2D3CE" w14:textId="77777777" w:rsidR="00355EC5" w:rsidRPr="00166D67" w:rsidRDefault="00355EC5" w:rsidP="0059185F">
            <w:pPr>
              <w:jc w:val="left"/>
              <w:rPr>
                <w:color w:val="FF0000"/>
                <w:sz w:val="17"/>
                <w:szCs w:val="17"/>
              </w:rPr>
            </w:pPr>
          </w:p>
        </w:tc>
        <w:tc>
          <w:tcPr>
            <w:tcW w:w="2155" w:type="dxa"/>
            <w:shd w:val="clear" w:color="auto" w:fill="auto"/>
          </w:tcPr>
          <w:p w14:paraId="64146644" w14:textId="4B06CEDA" w:rsidR="00355EC5" w:rsidRPr="00166D67" w:rsidRDefault="00355EC5" w:rsidP="0059185F">
            <w:pPr>
              <w:jc w:val="left"/>
              <w:rPr>
                <w:sz w:val="17"/>
                <w:szCs w:val="17"/>
              </w:rPr>
            </w:pPr>
            <w:r w:rsidRPr="00166D67">
              <w:rPr>
                <w:sz w:val="17"/>
                <w:szCs w:val="17"/>
              </w:rPr>
              <w:t>Credit Institutions</w:t>
            </w:r>
          </w:p>
        </w:tc>
        <w:tc>
          <w:tcPr>
            <w:tcW w:w="5523" w:type="dxa"/>
            <w:shd w:val="clear" w:color="auto" w:fill="auto"/>
          </w:tcPr>
          <w:p w14:paraId="7DA43623" w14:textId="6F5B8D9D" w:rsidR="00355EC5" w:rsidRPr="00166D67" w:rsidRDefault="00F85FD6" w:rsidP="0059185F">
            <w:pPr>
              <w:jc w:val="left"/>
              <w:rPr>
                <w:sz w:val="17"/>
                <w:szCs w:val="17"/>
              </w:rPr>
            </w:pPr>
            <w:r w:rsidRPr="00166D67">
              <w:rPr>
                <w:sz w:val="17"/>
                <w:szCs w:val="17"/>
              </w:rPr>
              <w:t xml:space="preserve">On 5 November 2020, the Central Bank of Ireland (the </w:t>
            </w:r>
            <w:r w:rsidRPr="00166D67">
              <w:rPr>
                <w:b/>
                <w:sz w:val="17"/>
                <w:szCs w:val="17"/>
              </w:rPr>
              <w:t>CBI</w:t>
            </w:r>
            <w:r w:rsidRPr="00166D67">
              <w:rPr>
                <w:sz w:val="17"/>
                <w:szCs w:val="17"/>
              </w:rPr>
              <w:t xml:space="preserve">) published an update to its COVID-19 Prudential Regulatory Flexibility Measures for Credit Institutions. </w:t>
            </w:r>
            <w:r w:rsidR="00540C69" w:rsidRPr="00166D67">
              <w:rPr>
                <w:sz w:val="17"/>
                <w:szCs w:val="17"/>
              </w:rPr>
              <w:t xml:space="preserve">The </w:t>
            </w:r>
            <w:r w:rsidRPr="00166D67">
              <w:rPr>
                <w:sz w:val="17"/>
                <w:szCs w:val="17"/>
              </w:rPr>
              <w:t>CBI</w:t>
            </w:r>
            <w:r w:rsidR="00540C69" w:rsidRPr="00166D67">
              <w:rPr>
                <w:sz w:val="17"/>
                <w:szCs w:val="17"/>
              </w:rPr>
              <w:t xml:space="preserve"> expects credit institutions to meet specific RMP submission dates given the operational resilience demonstrated by the banking sector; to assess the need for additional Pillar 3 disclosures on prudential information;</w:t>
            </w:r>
            <w:r w:rsidR="0047761C" w:rsidRPr="00166D67">
              <w:rPr>
                <w:sz w:val="17"/>
                <w:szCs w:val="17"/>
              </w:rPr>
              <w:t xml:space="preserve"> and</w:t>
            </w:r>
            <w:r w:rsidR="00540C69" w:rsidRPr="00166D67">
              <w:rPr>
                <w:sz w:val="17"/>
                <w:szCs w:val="17"/>
              </w:rPr>
              <w:t xml:space="preserve"> to submit additional targeted information </w:t>
            </w:r>
            <w:r w:rsidR="0047761C" w:rsidRPr="00166D67">
              <w:rPr>
                <w:sz w:val="17"/>
                <w:szCs w:val="17"/>
              </w:rPr>
              <w:t xml:space="preserve">to the </w:t>
            </w:r>
            <w:r w:rsidRPr="00166D67">
              <w:rPr>
                <w:sz w:val="17"/>
                <w:szCs w:val="17"/>
              </w:rPr>
              <w:t>CBI</w:t>
            </w:r>
            <w:r w:rsidR="0047761C" w:rsidRPr="00166D67">
              <w:rPr>
                <w:sz w:val="17"/>
                <w:szCs w:val="17"/>
              </w:rPr>
              <w:t xml:space="preserve">. The </w:t>
            </w:r>
            <w:r w:rsidRPr="00166D67">
              <w:rPr>
                <w:sz w:val="17"/>
                <w:szCs w:val="17"/>
              </w:rPr>
              <w:t>CBI</w:t>
            </w:r>
            <w:r w:rsidR="0047761C" w:rsidRPr="00166D67">
              <w:rPr>
                <w:sz w:val="17"/>
                <w:szCs w:val="17"/>
              </w:rPr>
              <w:t xml:space="preserve"> does not expect credit institutions to comply with the Pillar 2 Guidance before the end of 2021. Separately, as of 12 October 2020, credit institutions</w:t>
            </w:r>
            <w:r w:rsidR="008367F5" w:rsidRPr="00166D67">
              <w:rPr>
                <w:sz w:val="17"/>
                <w:szCs w:val="17"/>
              </w:rPr>
              <w:t xml:space="preserve"> may exclude certain central bank exposures from the leverage ratio </w:t>
            </w:r>
            <w:r w:rsidR="0047761C" w:rsidRPr="00166D67">
              <w:rPr>
                <w:sz w:val="17"/>
                <w:szCs w:val="17"/>
              </w:rPr>
              <w:t>until 27 June 2021</w:t>
            </w:r>
            <w:r w:rsidR="008367F5" w:rsidRPr="00166D67">
              <w:rPr>
                <w:sz w:val="17"/>
                <w:szCs w:val="17"/>
              </w:rPr>
              <w:t xml:space="preserve">. The </w:t>
            </w:r>
            <w:r w:rsidRPr="00166D67">
              <w:rPr>
                <w:sz w:val="17"/>
                <w:szCs w:val="17"/>
              </w:rPr>
              <w:t>CBI</w:t>
            </w:r>
            <w:r w:rsidR="008367F5" w:rsidRPr="00166D67">
              <w:rPr>
                <w:sz w:val="17"/>
                <w:szCs w:val="17"/>
              </w:rPr>
              <w:t xml:space="preserve"> has also communicated that it will apply certain measures outlined by the </w:t>
            </w:r>
            <w:r w:rsidR="00071F80" w:rsidRPr="00166D67">
              <w:rPr>
                <w:sz w:val="17"/>
                <w:szCs w:val="17"/>
              </w:rPr>
              <w:t>EBA.</w:t>
            </w:r>
            <w:r w:rsidR="008367F5" w:rsidRPr="00166D67">
              <w:rPr>
                <w:sz w:val="17"/>
                <w:szCs w:val="17"/>
              </w:rPr>
              <w:t xml:space="preserve"> </w:t>
            </w:r>
          </w:p>
        </w:tc>
      </w:tr>
      <w:tr w:rsidR="00F85FD6" w:rsidRPr="00166D67" w14:paraId="31C3D50D" w14:textId="77777777" w:rsidTr="003E651E">
        <w:trPr>
          <w:cantSplit/>
        </w:trPr>
        <w:tc>
          <w:tcPr>
            <w:tcW w:w="1097" w:type="dxa"/>
            <w:shd w:val="clear" w:color="auto" w:fill="FFFFFF" w:themeFill="background1"/>
          </w:tcPr>
          <w:p w14:paraId="6E2734BF" w14:textId="39DD3787" w:rsidR="00F85FD6" w:rsidRPr="007F1827" w:rsidRDefault="00F85FD6" w:rsidP="0059185F">
            <w:pPr>
              <w:jc w:val="left"/>
              <w:rPr>
                <w:b/>
                <w:sz w:val="17"/>
                <w:szCs w:val="17"/>
              </w:rPr>
            </w:pPr>
            <w:r w:rsidRPr="007F1827">
              <w:rPr>
                <w:b/>
                <w:sz w:val="17"/>
                <w:szCs w:val="17"/>
              </w:rPr>
              <w:t>5 November 2020</w:t>
            </w:r>
          </w:p>
        </w:tc>
        <w:tc>
          <w:tcPr>
            <w:tcW w:w="1880" w:type="dxa"/>
            <w:shd w:val="clear" w:color="auto" w:fill="FFFFFF" w:themeFill="background1"/>
          </w:tcPr>
          <w:p w14:paraId="711F7B6B" w14:textId="5ED39C91" w:rsidR="00F85FD6" w:rsidRPr="00166D67" w:rsidRDefault="00A324C3" w:rsidP="0059185F">
            <w:pPr>
              <w:jc w:val="left"/>
              <w:rPr>
                <w:sz w:val="17"/>
                <w:szCs w:val="17"/>
              </w:rPr>
            </w:pPr>
            <w:hyperlink r:id="rId91" w:history="1">
              <w:r w:rsidR="00F85FD6" w:rsidRPr="00166D67">
                <w:rPr>
                  <w:rStyle w:val="Hyperlink"/>
                  <w:sz w:val="17"/>
                  <w:szCs w:val="17"/>
                </w:rPr>
                <w:t>Update to the COVID-19 Prudential Regulatory Flexibility Measures for Insurance and Reinsurance Firms</w:t>
              </w:r>
            </w:hyperlink>
          </w:p>
        </w:tc>
        <w:tc>
          <w:tcPr>
            <w:tcW w:w="1819" w:type="dxa"/>
            <w:shd w:val="clear" w:color="auto" w:fill="FFFFFF" w:themeFill="background1"/>
          </w:tcPr>
          <w:p w14:paraId="5FCEB7C6" w14:textId="77777777" w:rsidR="00F85FD6" w:rsidRPr="00166D67" w:rsidRDefault="00F85FD6" w:rsidP="0059185F">
            <w:pPr>
              <w:jc w:val="left"/>
              <w:rPr>
                <w:color w:val="FF0000"/>
                <w:sz w:val="17"/>
                <w:szCs w:val="17"/>
              </w:rPr>
            </w:pPr>
          </w:p>
        </w:tc>
        <w:tc>
          <w:tcPr>
            <w:tcW w:w="2155" w:type="dxa"/>
            <w:shd w:val="clear" w:color="auto" w:fill="FFFFFF" w:themeFill="background1"/>
          </w:tcPr>
          <w:p w14:paraId="186D032B" w14:textId="13276CA0" w:rsidR="00F85FD6" w:rsidRPr="00166D67" w:rsidRDefault="00F85FD6" w:rsidP="0059185F">
            <w:pPr>
              <w:jc w:val="left"/>
              <w:rPr>
                <w:sz w:val="17"/>
                <w:szCs w:val="17"/>
              </w:rPr>
            </w:pPr>
            <w:r w:rsidRPr="00166D67">
              <w:rPr>
                <w:sz w:val="17"/>
                <w:szCs w:val="17"/>
              </w:rPr>
              <w:t>Insurance and Reinsurance Firms</w:t>
            </w:r>
          </w:p>
        </w:tc>
        <w:tc>
          <w:tcPr>
            <w:tcW w:w="5523" w:type="dxa"/>
            <w:shd w:val="clear" w:color="auto" w:fill="FFFFFF" w:themeFill="background1"/>
          </w:tcPr>
          <w:p w14:paraId="291F531A" w14:textId="7FBFEF66" w:rsidR="00F85FD6" w:rsidRPr="00166D67" w:rsidRDefault="00F85FD6" w:rsidP="0059185F">
            <w:pPr>
              <w:jc w:val="left"/>
              <w:rPr>
                <w:sz w:val="17"/>
                <w:szCs w:val="17"/>
              </w:rPr>
            </w:pPr>
            <w:r w:rsidRPr="00166D67">
              <w:rPr>
                <w:sz w:val="17"/>
                <w:szCs w:val="17"/>
              </w:rPr>
              <w:t xml:space="preserve">On 5 November 2020, the Central Bank of Ireland (the </w:t>
            </w:r>
            <w:r w:rsidRPr="00166D67">
              <w:rPr>
                <w:b/>
                <w:sz w:val="17"/>
                <w:szCs w:val="17"/>
              </w:rPr>
              <w:t>CBI</w:t>
            </w:r>
            <w:r w:rsidRPr="00166D67">
              <w:rPr>
                <w:sz w:val="17"/>
                <w:szCs w:val="17"/>
              </w:rPr>
              <w:t xml:space="preserve">) published an update to its COVID-19 Prudential Regulatory Flexibility Measures for Insurance and Reinsurance Firms. The CBI expects Insurance and Reinsurance Firms to submit additional targeted information to the CBI and to meet specific RMP submission dates given the operational resilience demonstrated by the (re)insurance sector. The CBI also communicated that it is supportive of EIOPA's statements and recommendations. The CBI will continually review its approach to regulatory flexibility and will provide updates as required. </w:t>
            </w:r>
          </w:p>
        </w:tc>
      </w:tr>
      <w:tr w:rsidR="00F85FD6" w:rsidRPr="00166D67" w14:paraId="48C80869" w14:textId="77777777" w:rsidTr="003E651E">
        <w:trPr>
          <w:cantSplit/>
        </w:trPr>
        <w:tc>
          <w:tcPr>
            <w:tcW w:w="1097" w:type="dxa"/>
            <w:shd w:val="clear" w:color="auto" w:fill="FFFFFF" w:themeFill="background1"/>
          </w:tcPr>
          <w:p w14:paraId="6E5831D9" w14:textId="3600C3EA" w:rsidR="00F85FD6" w:rsidRPr="007F1827" w:rsidRDefault="00F85FD6" w:rsidP="0059185F">
            <w:pPr>
              <w:jc w:val="left"/>
              <w:rPr>
                <w:b/>
                <w:sz w:val="17"/>
                <w:szCs w:val="17"/>
              </w:rPr>
            </w:pPr>
            <w:r w:rsidRPr="007F1827">
              <w:rPr>
                <w:b/>
                <w:sz w:val="17"/>
                <w:szCs w:val="17"/>
              </w:rPr>
              <w:t>5 November 2020</w:t>
            </w:r>
          </w:p>
        </w:tc>
        <w:tc>
          <w:tcPr>
            <w:tcW w:w="1880" w:type="dxa"/>
            <w:shd w:val="clear" w:color="auto" w:fill="FFFFFF" w:themeFill="background1"/>
          </w:tcPr>
          <w:p w14:paraId="487D3C15" w14:textId="74A85D19" w:rsidR="00F85FD6" w:rsidRPr="00166D67" w:rsidRDefault="00A324C3" w:rsidP="0059185F">
            <w:pPr>
              <w:jc w:val="left"/>
              <w:rPr>
                <w:sz w:val="17"/>
                <w:szCs w:val="17"/>
              </w:rPr>
            </w:pPr>
            <w:hyperlink r:id="rId92" w:history="1">
              <w:r w:rsidR="00F85FD6" w:rsidRPr="00166D67">
                <w:rPr>
                  <w:rStyle w:val="Hyperlink"/>
                  <w:sz w:val="17"/>
                  <w:szCs w:val="17"/>
                </w:rPr>
                <w:t>Update to the COVID-19 Prudential Regulatory Flexibility Measures for Securities Markets, Investment Management, Investment Firms and Fund Service Providers</w:t>
              </w:r>
            </w:hyperlink>
          </w:p>
        </w:tc>
        <w:tc>
          <w:tcPr>
            <w:tcW w:w="1819" w:type="dxa"/>
            <w:shd w:val="clear" w:color="auto" w:fill="FFFFFF" w:themeFill="background1"/>
          </w:tcPr>
          <w:p w14:paraId="0776BAFD" w14:textId="77777777" w:rsidR="00F85FD6" w:rsidRPr="00166D67" w:rsidRDefault="00F85FD6" w:rsidP="0059185F">
            <w:pPr>
              <w:jc w:val="left"/>
              <w:rPr>
                <w:color w:val="FF0000"/>
                <w:sz w:val="17"/>
                <w:szCs w:val="17"/>
              </w:rPr>
            </w:pPr>
          </w:p>
        </w:tc>
        <w:tc>
          <w:tcPr>
            <w:tcW w:w="2155" w:type="dxa"/>
            <w:shd w:val="clear" w:color="auto" w:fill="FFFFFF" w:themeFill="background1"/>
          </w:tcPr>
          <w:p w14:paraId="70F028B7" w14:textId="350B47DC" w:rsidR="00F85FD6" w:rsidRPr="00166D67" w:rsidRDefault="00F85FD6" w:rsidP="0059185F">
            <w:pPr>
              <w:jc w:val="left"/>
              <w:rPr>
                <w:sz w:val="17"/>
                <w:szCs w:val="17"/>
              </w:rPr>
            </w:pPr>
            <w:r w:rsidRPr="00166D67">
              <w:rPr>
                <w:sz w:val="17"/>
                <w:szCs w:val="17"/>
              </w:rPr>
              <w:t>Securities Markets, Investment Management, Investment Firms and Fund Service Providers</w:t>
            </w:r>
          </w:p>
        </w:tc>
        <w:tc>
          <w:tcPr>
            <w:tcW w:w="5523" w:type="dxa"/>
            <w:shd w:val="clear" w:color="auto" w:fill="FFFFFF" w:themeFill="background1"/>
          </w:tcPr>
          <w:p w14:paraId="4856E626" w14:textId="5AEDAA17" w:rsidR="00F85FD6" w:rsidRPr="00166D67" w:rsidRDefault="00F85FD6" w:rsidP="0059185F">
            <w:pPr>
              <w:jc w:val="left"/>
              <w:rPr>
                <w:sz w:val="17"/>
                <w:szCs w:val="17"/>
              </w:rPr>
            </w:pPr>
            <w:r w:rsidRPr="00166D67">
              <w:rPr>
                <w:sz w:val="17"/>
                <w:szCs w:val="17"/>
              </w:rPr>
              <w:t xml:space="preserve">On 5 November 2020, the Central Bank of Ireland </w:t>
            </w:r>
            <w:r w:rsidR="009704F4" w:rsidRPr="00166D67">
              <w:rPr>
                <w:sz w:val="17"/>
                <w:szCs w:val="17"/>
              </w:rPr>
              <w:t xml:space="preserve">(the </w:t>
            </w:r>
            <w:r w:rsidR="009704F4" w:rsidRPr="00166D67">
              <w:rPr>
                <w:b/>
                <w:sz w:val="17"/>
                <w:szCs w:val="17"/>
              </w:rPr>
              <w:t>CBI</w:t>
            </w:r>
            <w:r w:rsidR="009704F4" w:rsidRPr="00166D67">
              <w:rPr>
                <w:sz w:val="17"/>
                <w:szCs w:val="17"/>
              </w:rPr>
              <w:t xml:space="preserve">) </w:t>
            </w:r>
            <w:r w:rsidRPr="00166D67">
              <w:rPr>
                <w:sz w:val="17"/>
                <w:szCs w:val="17"/>
              </w:rPr>
              <w:t>published an update to its COVID-19 Prudential Regulatory Flexibility Measures for Securities Markets, Investment Management, Investment Firms and Fund Service Providers.</w:t>
            </w:r>
            <w:r w:rsidR="009704F4" w:rsidRPr="00166D67">
              <w:rPr>
                <w:sz w:val="17"/>
                <w:szCs w:val="17"/>
              </w:rPr>
              <w:t xml:space="preserve"> The CBI expects MiFID investment firms subject to CRR/CRD IV to </w:t>
            </w:r>
            <w:r w:rsidR="002A50DA" w:rsidRPr="00166D67">
              <w:rPr>
                <w:sz w:val="17"/>
                <w:szCs w:val="17"/>
              </w:rPr>
              <w:t>assess</w:t>
            </w:r>
            <w:r w:rsidR="009704F4" w:rsidRPr="00166D67">
              <w:rPr>
                <w:sz w:val="17"/>
                <w:szCs w:val="17"/>
              </w:rPr>
              <w:t xml:space="preserve"> the need for additional Pillar 3 </w:t>
            </w:r>
            <w:r w:rsidR="002A50DA" w:rsidRPr="00166D67">
              <w:rPr>
                <w:sz w:val="17"/>
                <w:szCs w:val="17"/>
              </w:rPr>
              <w:t>disclosures on prudential information</w:t>
            </w:r>
            <w:r w:rsidR="00071F80" w:rsidRPr="00166D67">
              <w:rPr>
                <w:sz w:val="17"/>
                <w:szCs w:val="17"/>
              </w:rPr>
              <w:t xml:space="preserve">; </w:t>
            </w:r>
            <w:r w:rsidR="002A50DA" w:rsidRPr="00166D67">
              <w:rPr>
                <w:sz w:val="17"/>
                <w:szCs w:val="17"/>
              </w:rPr>
              <w:t>to hold the requisite capital in accordance with any Pillar 2 Guidance</w:t>
            </w:r>
            <w:r w:rsidR="00071F80" w:rsidRPr="00166D67">
              <w:rPr>
                <w:sz w:val="17"/>
                <w:szCs w:val="17"/>
              </w:rPr>
              <w:t>; and to file financial statements within the usual time frames (subject to flexibility)</w:t>
            </w:r>
            <w:r w:rsidR="009704F4" w:rsidRPr="00166D67">
              <w:rPr>
                <w:sz w:val="17"/>
                <w:szCs w:val="17"/>
              </w:rPr>
              <w:t xml:space="preserve">. </w:t>
            </w:r>
            <w:r w:rsidR="002A50DA" w:rsidRPr="00166D67">
              <w:rPr>
                <w:sz w:val="17"/>
                <w:szCs w:val="17"/>
              </w:rPr>
              <w:t>The CBI also expects additional targeted information to be submitted by investment firms, investment funds and fund service providers and for firms to meet specific RMP submission dates.</w:t>
            </w:r>
            <w:r w:rsidR="00071F80" w:rsidRPr="00166D67">
              <w:rPr>
                <w:sz w:val="17"/>
                <w:szCs w:val="17"/>
              </w:rPr>
              <w:t xml:space="preserve"> The CBI has also set out further expectations in respect of Fund Service Providers and has confirmed that it will apply certain measures set out by ESMA and the EBA. </w:t>
            </w:r>
          </w:p>
        </w:tc>
      </w:tr>
      <w:tr w:rsidR="004261C4" w:rsidRPr="00166D67" w14:paraId="78DA17A2" w14:textId="77777777" w:rsidTr="003E651E">
        <w:trPr>
          <w:cantSplit/>
        </w:trPr>
        <w:tc>
          <w:tcPr>
            <w:tcW w:w="1097" w:type="dxa"/>
            <w:shd w:val="clear" w:color="auto" w:fill="FFFFFF" w:themeFill="background1"/>
          </w:tcPr>
          <w:p w14:paraId="517ABE8B" w14:textId="0FD7FD2D" w:rsidR="004261C4" w:rsidRPr="007F1827" w:rsidRDefault="004261C4" w:rsidP="0059185F">
            <w:pPr>
              <w:jc w:val="left"/>
              <w:rPr>
                <w:b/>
                <w:sz w:val="17"/>
                <w:szCs w:val="17"/>
              </w:rPr>
            </w:pPr>
            <w:r w:rsidRPr="007F1827">
              <w:rPr>
                <w:b/>
                <w:sz w:val="17"/>
                <w:szCs w:val="17"/>
              </w:rPr>
              <w:t>7 November 2020</w:t>
            </w:r>
          </w:p>
        </w:tc>
        <w:tc>
          <w:tcPr>
            <w:tcW w:w="1880" w:type="dxa"/>
            <w:shd w:val="clear" w:color="auto" w:fill="FFFFFF" w:themeFill="background1"/>
          </w:tcPr>
          <w:p w14:paraId="6CECC14C" w14:textId="51AC911D" w:rsidR="004261C4" w:rsidRPr="00166D67" w:rsidRDefault="004261C4" w:rsidP="0059185F">
            <w:pPr>
              <w:jc w:val="left"/>
              <w:rPr>
                <w:sz w:val="17"/>
                <w:szCs w:val="17"/>
              </w:rPr>
            </w:pPr>
            <w:r w:rsidRPr="00166D67">
              <w:rPr>
                <w:sz w:val="17"/>
                <w:szCs w:val="17"/>
              </w:rPr>
              <w:t xml:space="preserve">CBI COVID-19 Hub: </w:t>
            </w:r>
            <w:hyperlink r:id="rId93" w:history="1">
              <w:r w:rsidRPr="00166D67">
                <w:rPr>
                  <w:rStyle w:val="Hyperlink"/>
                  <w:sz w:val="17"/>
                  <w:szCs w:val="17"/>
                </w:rPr>
                <w:t>COVID-19 - Consumer FAQ</w:t>
              </w:r>
            </w:hyperlink>
          </w:p>
        </w:tc>
        <w:tc>
          <w:tcPr>
            <w:tcW w:w="1819" w:type="dxa"/>
            <w:shd w:val="clear" w:color="auto" w:fill="FFFFFF" w:themeFill="background1"/>
          </w:tcPr>
          <w:p w14:paraId="51C0628A" w14:textId="77777777" w:rsidR="004261C4" w:rsidRPr="00166D67" w:rsidRDefault="004261C4" w:rsidP="0059185F">
            <w:pPr>
              <w:jc w:val="left"/>
              <w:rPr>
                <w:color w:val="FF0000"/>
                <w:sz w:val="17"/>
                <w:szCs w:val="17"/>
                <w:highlight w:val="red"/>
              </w:rPr>
            </w:pPr>
          </w:p>
        </w:tc>
        <w:tc>
          <w:tcPr>
            <w:tcW w:w="2155" w:type="dxa"/>
            <w:shd w:val="clear" w:color="auto" w:fill="FFFFFF" w:themeFill="background1"/>
          </w:tcPr>
          <w:p w14:paraId="5C91318E" w14:textId="3DCAA192" w:rsidR="004261C4" w:rsidRPr="00166D67" w:rsidRDefault="004261C4" w:rsidP="0059185F">
            <w:pPr>
              <w:jc w:val="left"/>
              <w:rPr>
                <w:sz w:val="17"/>
                <w:szCs w:val="17"/>
                <w:highlight w:val="red"/>
              </w:rPr>
            </w:pPr>
            <w:r w:rsidRPr="00166D67">
              <w:rPr>
                <w:sz w:val="17"/>
                <w:szCs w:val="17"/>
              </w:rPr>
              <w:t>All Regulated Financial Services Providers and Consumers</w:t>
            </w:r>
          </w:p>
        </w:tc>
        <w:tc>
          <w:tcPr>
            <w:tcW w:w="5523" w:type="dxa"/>
            <w:shd w:val="clear" w:color="auto" w:fill="FFFFFF" w:themeFill="background1"/>
          </w:tcPr>
          <w:p w14:paraId="4927043B" w14:textId="19505E75" w:rsidR="004261C4" w:rsidRPr="00166D67" w:rsidRDefault="004261C4" w:rsidP="0059185F">
            <w:pPr>
              <w:jc w:val="left"/>
              <w:rPr>
                <w:sz w:val="17"/>
                <w:szCs w:val="17"/>
                <w:highlight w:val="red"/>
              </w:rPr>
            </w:pPr>
            <w:r w:rsidRPr="00166D67">
              <w:rPr>
                <w:sz w:val="17"/>
                <w:szCs w:val="17"/>
              </w:rPr>
              <w:t>On 7 November 2020, the CBI updated the Consumer FAQs section on its COVID-19 hub. The section provides up to date advice on consumer issues related to the pandemic, such as mortgage payment breaks, scams and fraud, insurance and general banking and investment issues. It also provides guidance to regulated firms on handling COVID-19 issues with a consumer focus.</w:t>
            </w:r>
          </w:p>
        </w:tc>
      </w:tr>
      <w:tr w:rsidR="00173884" w:rsidRPr="00166D67" w14:paraId="06001265" w14:textId="77777777" w:rsidTr="003E651E">
        <w:trPr>
          <w:cantSplit/>
        </w:trPr>
        <w:tc>
          <w:tcPr>
            <w:tcW w:w="1097" w:type="dxa"/>
            <w:shd w:val="clear" w:color="auto" w:fill="FFFFFF" w:themeFill="background1"/>
          </w:tcPr>
          <w:p w14:paraId="7FE054E3" w14:textId="344CC0B3" w:rsidR="00173884" w:rsidRPr="007F1827" w:rsidRDefault="00173884" w:rsidP="0059185F">
            <w:pPr>
              <w:jc w:val="left"/>
              <w:rPr>
                <w:b/>
                <w:sz w:val="17"/>
                <w:szCs w:val="17"/>
              </w:rPr>
            </w:pPr>
            <w:r w:rsidRPr="00173884">
              <w:rPr>
                <w:b/>
                <w:sz w:val="17"/>
                <w:szCs w:val="17"/>
              </w:rPr>
              <w:t>18 November 2020</w:t>
            </w:r>
          </w:p>
        </w:tc>
        <w:tc>
          <w:tcPr>
            <w:tcW w:w="1880" w:type="dxa"/>
            <w:shd w:val="clear" w:color="auto" w:fill="FFFFFF" w:themeFill="background1"/>
          </w:tcPr>
          <w:p w14:paraId="5C2581B3" w14:textId="1F0D47F7" w:rsidR="00173884" w:rsidRPr="00166D67" w:rsidRDefault="00173884" w:rsidP="0059185F">
            <w:pPr>
              <w:jc w:val="left"/>
              <w:rPr>
                <w:sz w:val="17"/>
                <w:szCs w:val="17"/>
              </w:rPr>
            </w:pPr>
            <w:r w:rsidRPr="00173884">
              <w:rPr>
                <w:sz w:val="17"/>
                <w:szCs w:val="17"/>
              </w:rPr>
              <w:t xml:space="preserve">CBI COVID-19 Hub: </w:t>
            </w:r>
            <w:hyperlink r:id="rId94" w:history="1">
              <w:r w:rsidRPr="00173884">
                <w:rPr>
                  <w:rStyle w:val="Hyperlink"/>
                  <w:sz w:val="17"/>
                  <w:szCs w:val="17"/>
                </w:rPr>
                <w:t>COVID-19 - Consumer FAQ</w:t>
              </w:r>
            </w:hyperlink>
          </w:p>
        </w:tc>
        <w:tc>
          <w:tcPr>
            <w:tcW w:w="1819" w:type="dxa"/>
            <w:shd w:val="clear" w:color="auto" w:fill="FFFFFF" w:themeFill="background1"/>
          </w:tcPr>
          <w:p w14:paraId="25ED85F9" w14:textId="77777777" w:rsidR="00173884" w:rsidRPr="00166D67" w:rsidRDefault="00173884" w:rsidP="0059185F">
            <w:pPr>
              <w:jc w:val="left"/>
              <w:rPr>
                <w:color w:val="FF0000"/>
                <w:sz w:val="17"/>
                <w:szCs w:val="17"/>
                <w:highlight w:val="red"/>
              </w:rPr>
            </w:pPr>
          </w:p>
        </w:tc>
        <w:tc>
          <w:tcPr>
            <w:tcW w:w="2155" w:type="dxa"/>
            <w:shd w:val="clear" w:color="auto" w:fill="FFFFFF" w:themeFill="background1"/>
          </w:tcPr>
          <w:p w14:paraId="2439620C" w14:textId="1E248FFA" w:rsidR="00173884" w:rsidRPr="00166D67" w:rsidRDefault="00173884" w:rsidP="0059185F">
            <w:pPr>
              <w:jc w:val="left"/>
              <w:rPr>
                <w:sz w:val="17"/>
                <w:szCs w:val="17"/>
              </w:rPr>
            </w:pPr>
            <w:r w:rsidRPr="00173884">
              <w:rPr>
                <w:sz w:val="17"/>
                <w:szCs w:val="17"/>
              </w:rPr>
              <w:t>All Regulated Financial Services Providers and Consumers</w:t>
            </w:r>
          </w:p>
        </w:tc>
        <w:tc>
          <w:tcPr>
            <w:tcW w:w="5523" w:type="dxa"/>
            <w:shd w:val="clear" w:color="auto" w:fill="FFFFFF" w:themeFill="background1"/>
          </w:tcPr>
          <w:p w14:paraId="48732FDD" w14:textId="36BD5C63" w:rsidR="00173884" w:rsidRPr="00166D67" w:rsidRDefault="00173884" w:rsidP="0059185F">
            <w:pPr>
              <w:jc w:val="left"/>
              <w:rPr>
                <w:sz w:val="17"/>
                <w:szCs w:val="17"/>
              </w:rPr>
            </w:pPr>
            <w:r w:rsidRPr="00173884">
              <w:rPr>
                <w:sz w:val="17"/>
                <w:szCs w:val="17"/>
              </w:rPr>
              <w:t>On 18 November 2020, the CBI updated the Consumer FAQs section on its COVID-19 hub, particularly in respect of mortgage supports. The section provides up to date advice on consumer issues related to the pandemic, such as mortgage payment breaks, scams and fraud, insurance and general banking and investment issues. It also provides guidance to regulated firms on handling COVID-19 issues with a consumer focus.</w:t>
            </w:r>
          </w:p>
        </w:tc>
      </w:tr>
      <w:tr w:rsidR="00173884" w:rsidRPr="00166D67" w14:paraId="6AFA8EEC" w14:textId="77777777" w:rsidTr="009B7981">
        <w:trPr>
          <w:cantSplit/>
        </w:trPr>
        <w:tc>
          <w:tcPr>
            <w:tcW w:w="1097" w:type="dxa"/>
            <w:shd w:val="clear" w:color="auto" w:fill="auto"/>
          </w:tcPr>
          <w:p w14:paraId="355AED5B" w14:textId="749B97D9" w:rsidR="00173884" w:rsidRPr="007F1827" w:rsidRDefault="00173884" w:rsidP="0059185F">
            <w:pPr>
              <w:jc w:val="left"/>
              <w:rPr>
                <w:b/>
                <w:sz w:val="17"/>
                <w:szCs w:val="17"/>
              </w:rPr>
            </w:pPr>
            <w:r w:rsidRPr="00173884">
              <w:rPr>
                <w:b/>
                <w:sz w:val="17"/>
                <w:szCs w:val="17"/>
              </w:rPr>
              <w:t>20 November 2020</w:t>
            </w:r>
          </w:p>
        </w:tc>
        <w:tc>
          <w:tcPr>
            <w:tcW w:w="1880" w:type="dxa"/>
            <w:shd w:val="clear" w:color="auto" w:fill="auto"/>
          </w:tcPr>
          <w:p w14:paraId="7C509392" w14:textId="649FA678" w:rsidR="00173884" w:rsidRPr="00166D67" w:rsidRDefault="00173884" w:rsidP="0059185F">
            <w:pPr>
              <w:jc w:val="left"/>
              <w:rPr>
                <w:sz w:val="17"/>
                <w:szCs w:val="17"/>
              </w:rPr>
            </w:pPr>
            <w:r w:rsidRPr="00173884">
              <w:rPr>
                <w:sz w:val="17"/>
                <w:szCs w:val="17"/>
              </w:rPr>
              <w:t xml:space="preserve">CBI COVID-19 Hub: </w:t>
            </w:r>
            <w:hyperlink r:id="rId95" w:history="1">
              <w:r w:rsidRPr="00173884">
                <w:rPr>
                  <w:rStyle w:val="Hyperlink"/>
                  <w:sz w:val="17"/>
                  <w:szCs w:val="17"/>
                </w:rPr>
                <w:t>COVID-19 – Regulated Firms FAQ</w:t>
              </w:r>
            </w:hyperlink>
          </w:p>
        </w:tc>
        <w:tc>
          <w:tcPr>
            <w:tcW w:w="1819" w:type="dxa"/>
            <w:shd w:val="clear" w:color="auto" w:fill="auto"/>
          </w:tcPr>
          <w:p w14:paraId="3A3A4E3C" w14:textId="77777777" w:rsidR="00173884" w:rsidRPr="00166D67" w:rsidRDefault="00173884" w:rsidP="0059185F">
            <w:pPr>
              <w:jc w:val="left"/>
              <w:rPr>
                <w:color w:val="FF0000"/>
                <w:sz w:val="17"/>
                <w:szCs w:val="17"/>
                <w:highlight w:val="red"/>
              </w:rPr>
            </w:pPr>
          </w:p>
        </w:tc>
        <w:tc>
          <w:tcPr>
            <w:tcW w:w="2155" w:type="dxa"/>
            <w:shd w:val="clear" w:color="auto" w:fill="auto"/>
          </w:tcPr>
          <w:p w14:paraId="69D839EC" w14:textId="612A2E09" w:rsidR="00173884" w:rsidRPr="00166D67" w:rsidRDefault="00173884" w:rsidP="0059185F">
            <w:pPr>
              <w:jc w:val="left"/>
              <w:rPr>
                <w:sz w:val="17"/>
                <w:szCs w:val="17"/>
              </w:rPr>
            </w:pPr>
            <w:r w:rsidRPr="00173884">
              <w:rPr>
                <w:sz w:val="17"/>
                <w:szCs w:val="17"/>
              </w:rPr>
              <w:t>All Regulated Firms</w:t>
            </w:r>
          </w:p>
        </w:tc>
        <w:tc>
          <w:tcPr>
            <w:tcW w:w="5523" w:type="dxa"/>
            <w:shd w:val="clear" w:color="auto" w:fill="auto"/>
          </w:tcPr>
          <w:p w14:paraId="273302AE" w14:textId="49D5B30F" w:rsidR="00173884" w:rsidRPr="00166D67" w:rsidRDefault="00173884" w:rsidP="0059185F">
            <w:pPr>
              <w:jc w:val="left"/>
              <w:rPr>
                <w:sz w:val="17"/>
                <w:szCs w:val="17"/>
              </w:rPr>
            </w:pPr>
            <w:r w:rsidRPr="00173884">
              <w:rPr>
                <w:sz w:val="17"/>
                <w:szCs w:val="17"/>
              </w:rPr>
              <w:t xml:space="preserve">On 20 November 2020, the CBI updated its Regulated Firms FAQ section on its COVID-19 hub. The most recent FAQ added was in respect of the CBI's expectations of lenders in supporting borrowers who are experiencing financial difficulties as a result of COVID-19. The answer made reference to a </w:t>
            </w:r>
            <w:hyperlink r:id="rId96" w:history="1">
              <w:r w:rsidRPr="00173884">
                <w:rPr>
                  <w:rStyle w:val="Hyperlink"/>
                  <w:sz w:val="17"/>
                  <w:szCs w:val="17"/>
                </w:rPr>
                <w:t>Dear CEO Letter</w:t>
              </w:r>
            </w:hyperlink>
            <w:r w:rsidRPr="00173884">
              <w:rPr>
                <w:sz w:val="17"/>
                <w:szCs w:val="17"/>
              </w:rPr>
              <w:t xml:space="preserve"> circulated to lenders in the industry which contained several expectations that regulated firms must comply with.  </w:t>
            </w:r>
          </w:p>
        </w:tc>
      </w:tr>
      <w:tr w:rsidR="00A05402" w:rsidRPr="00166D67" w14:paraId="27FB0A8D" w14:textId="77777777" w:rsidTr="00CD33E6">
        <w:trPr>
          <w:cantSplit/>
        </w:trPr>
        <w:tc>
          <w:tcPr>
            <w:tcW w:w="1097" w:type="dxa"/>
            <w:tcBorders>
              <w:bottom w:val="single" w:sz="4" w:space="0" w:color="78716C" w:themeColor="accent5"/>
            </w:tcBorders>
            <w:shd w:val="clear" w:color="auto" w:fill="auto"/>
          </w:tcPr>
          <w:p w14:paraId="4C17ED5E" w14:textId="3930E472" w:rsidR="00A05402" w:rsidRPr="00173884" w:rsidRDefault="00A05402" w:rsidP="0059185F">
            <w:pPr>
              <w:jc w:val="left"/>
              <w:rPr>
                <w:b/>
                <w:sz w:val="17"/>
                <w:szCs w:val="17"/>
              </w:rPr>
            </w:pPr>
            <w:r>
              <w:rPr>
                <w:b/>
                <w:sz w:val="17"/>
                <w:szCs w:val="17"/>
              </w:rPr>
              <w:t>2 December 2020</w:t>
            </w:r>
          </w:p>
        </w:tc>
        <w:tc>
          <w:tcPr>
            <w:tcW w:w="1880" w:type="dxa"/>
            <w:tcBorders>
              <w:bottom w:val="single" w:sz="4" w:space="0" w:color="78716C" w:themeColor="accent5"/>
            </w:tcBorders>
            <w:shd w:val="clear" w:color="auto" w:fill="auto"/>
          </w:tcPr>
          <w:p w14:paraId="4CFA06D0" w14:textId="4F3A250C" w:rsidR="00A05402" w:rsidRPr="00173884" w:rsidRDefault="00A324C3" w:rsidP="0059185F">
            <w:pPr>
              <w:jc w:val="left"/>
              <w:rPr>
                <w:sz w:val="17"/>
                <w:szCs w:val="17"/>
              </w:rPr>
            </w:pPr>
            <w:hyperlink r:id="rId97" w:history="1">
              <w:r w:rsidR="00A05402" w:rsidRPr="00A05402">
                <w:rPr>
                  <w:rStyle w:val="Hyperlink"/>
                  <w:sz w:val="17"/>
                  <w:szCs w:val="17"/>
                </w:rPr>
                <w:t>CBI Statement regarding EBA Decision to Reactivate Guidelines on Payment Moratoria</w:t>
              </w:r>
            </w:hyperlink>
          </w:p>
        </w:tc>
        <w:tc>
          <w:tcPr>
            <w:tcW w:w="1819" w:type="dxa"/>
            <w:tcBorders>
              <w:bottom w:val="single" w:sz="4" w:space="0" w:color="78716C" w:themeColor="accent5"/>
            </w:tcBorders>
            <w:shd w:val="clear" w:color="auto" w:fill="auto"/>
          </w:tcPr>
          <w:p w14:paraId="2EE44755" w14:textId="77777777" w:rsidR="00A05402" w:rsidRPr="00166D67" w:rsidRDefault="00A05402" w:rsidP="0059185F">
            <w:pPr>
              <w:jc w:val="left"/>
              <w:rPr>
                <w:color w:val="FF0000"/>
                <w:sz w:val="17"/>
                <w:szCs w:val="17"/>
                <w:highlight w:val="red"/>
              </w:rPr>
            </w:pPr>
          </w:p>
        </w:tc>
        <w:tc>
          <w:tcPr>
            <w:tcW w:w="2155" w:type="dxa"/>
            <w:tcBorders>
              <w:bottom w:val="single" w:sz="4" w:space="0" w:color="78716C" w:themeColor="accent5"/>
            </w:tcBorders>
            <w:shd w:val="clear" w:color="auto" w:fill="auto"/>
          </w:tcPr>
          <w:p w14:paraId="069165B1" w14:textId="404BBD17" w:rsidR="00A05402" w:rsidRPr="00173884" w:rsidRDefault="00A05402" w:rsidP="0059185F">
            <w:pPr>
              <w:jc w:val="left"/>
              <w:rPr>
                <w:sz w:val="17"/>
                <w:szCs w:val="17"/>
              </w:rPr>
            </w:pPr>
            <w:r w:rsidRPr="00173884">
              <w:rPr>
                <w:sz w:val="17"/>
                <w:szCs w:val="17"/>
              </w:rPr>
              <w:t>All Regulated Financial Services Providers and Consumers</w:t>
            </w:r>
          </w:p>
        </w:tc>
        <w:tc>
          <w:tcPr>
            <w:tcW w:w="5523" w:type="dxa"/>
            <w:tcBorders>
              <w:bottom w:val="single" w:sz="4" w:space="0" w:color="78716C" w:themeColor="accent5"/>
            </w:tcBorders>
            <w:shd w:val="clear" w:color="auto" w:fill="auto"/>
          </w:tcPr>
          <w:p w14:paraId="12F6FAAA" w14:textId="6490EFAA" w:rsidR="00A05402" w:rsidRPr="00173884" w:rsidRDefault="00A05402" w:rsidP="00A05402">
            <w:pPr>
              <w:jc w:val="left"/>
              <w:rPr>
                <w:sz w:val="17"/>
                <w:szCs w:val="17"/>
              </w:rPr>
            </w:pPr>
            <w:r>
              <w:rPr>
                <w:sz w:val="17"/>
                <w:szCs w:val="17"/>
              </w:rPr>
              <w:t>On 2 December 2020, the EBA announced its decision to reactivate its guidelines on payment moratoria. A new end date of 31 March 2021 has been introduced. This decision has no immediate impact on Irish borrowers as Ireland does not currently have a national general payment moratoria scheme in operation. However, payment supports remain available to borrowers on a case-by-case basis. The CBI has outlined its expectations for lenders on how they should be supporting borrowers in a</w:t>
            </w:r>
            <w:r w:rsidR="00081566">
              <w:rPr>
                <w:sz w:val="17"/>
                <w:szCs w:val="17"/>
              </w:rPr>
              <w:t xml:space="preserve"> recent</w:t>
            </w:r>
            <w:r>
              <w:rPr>
                <w:sz w:val="17"/>
                <w:szCs w:val="17"/>
              </w:rPr>
              <w:t xml:space="preserve"> </w:t>
            </w:r>
            <w:hyperlink r:id="rId98" w:history="1">
              <w:r w:rsidRPr="00A05402">
                <w:rPr>
                  <w:rStyle w:val="Hyperlink"/>
                  <w:sz w:val="17"/>
                  <w:szCs w:val="17"/>
                </w:rPr>
                <w:t>Dear CEO Letter</w:t>
              </w:r>
            </w:hyperlink>
            <w:r>
              <w:rPr>
                <w:sz w:val="17"/>
                <w:szCs w:val="17"/>
              </w:rPr>
              <w:t xml:space="preserve">. </w:t>
            </w:r>
          </w:p>
        </w:tc>
      </w:tr>
      <w:tr w:rsidR="00F53286" w:rsidRPr="00166D67" w14:paraId="7E9D52A8" w14:textId="77777777" w:rsidTr="00CD33E6">
        <w:trPr>
          <w:cantSplit/>
        </w:trPr>
        <w:tc>
          <w:tcPr>
            <w:tcW w:w="1097" w:type="dxa"/>
            <w:tcBorders>
              <w:top w:val="single" w:sz="4" w:space="0" w:color="78716C" w:themeColor="accent5"/>
              <w:bottom w:val="single" w:sz="4" w:space="0" w:color="auto"/>
            </w:tcBorders>
            <w:shd w:val="clear" w:color="auto" w:fill="auto"/>
          </w:tcPr>
          <w:p w14:paraId="0FD4725F" w14:textId="0137094A" w:rsidR="00F53286" w:rsidRDefault="00F53286" w:rsidP="0059185F">
            <w:pPr>
              <w:jc w:val="left"/>
              <w:rPr>
                <w:b/>
                <w:sz w:val="17"/>
                <w:szCs w:val="17"/>
              </w:rPr>
            </w:pPr>
            <w:r>
              <w:rPr>
                <w:b/>
                <w:sz w:val="17"/>
                <w:szCs w:val="17"/>
              </w:rPr>
              <w:t>15 December 2020</w:t>
            </w:r>
          </w:p>
          <w:p w14:paraId="376C167A" w14:textId="48A721CF" w:rsidR="00CD33E6" w:rsidRDefault="00CD33E6" w:rsidP="0059185F">
            <w:pPr>
              <w:jc w:val="left"/>
              <w:rPr>
                <w:b/>
                <w:sz w:val="17"/>
                <w:szCs w:val="17"/>
              </w:rPr>
            </w:pPr>
          </w:p>
          <w:p w14:paraId="4EC8DF2F" w14:textId="0B26F7E0" w:rsidR="00CD33E6" w:rsidRDefault="00CD33E6" w:rsidP="0059185F">
            <w:pPr>
              <w:jc w:val="left"/>
              <w:rPr>
                <w:b/>
                <w:sz w:val="17"/>
                <w:szCs w:val="17"/>
              </w:rPr>
            </w:pPr>
          </w:p>
          <w:p w14:paraId="71001221" w14:textId="2AC48050" w:rsidR="00CD33E6" w:rsidRDefault="00CD33E6" w:rsidP="0059185F">
            <w:pPr>
              <w:jc w:val="left"/>
              <w:rPr>
                <w:b/>
                <w:sz w:val="17"/>
                <w:szCs w:val="17"/>
              </w:rPr>
            </w:pPr>
          </w:p>
          <w:p w14:paraId="1D6843E6" w14:textId="78FB5B35" w:rsidR="00CD33E6" w:rsidRDefault="00CD33E6" w:rsidP="0059185F">
            <w:pPr>
              <w:jc w:val="left"/>
              <w:rPr>
                <w:b/>
                <w:sz w:val="17"/>
                <w:szCs w:val="17"/>
              </w:rPr>
            </w:pPr>
          </w:p>
          <w:p w14:paraId="4A0AD273" w14:textId="77777777" w:rsidR="00CD33E6" w:rsidRDefault="00CD33E6" w:rsidP="0059185F">
            <w:pPr>
              <w:jc w:val="left"/>
              <w:rPr>
                <w:b/>
                <w:sz w:val="17"/>
                <w:szCs w:val="17"/>
              </w:rPr>
            </w:pPr>
          </w:p>
          <w:p w14:paraId="397CA4C9" w14:textId="77777777" w:rsidR="00CD33E6" w:rsidRDefault="00CD33E6" w:rsidP="0059185F">
            <w:pPr>
              <w:jc w:val="left"/>
              <w:rPr>
                <w:b/>
                <w:sz w:val="17"/>
                <w:szCs w:val="17"/>
              </w:rPr>
            </w:pPr>
          </w:p>
          <w:p w14:paraId="461351BF" w14:textId="760D082C" w:rsidR="00CD33E6" w:rsidRDefault="00CD33E6" w:rsidP="0059185F">
            <w:pPr>
              <w:jc w:val="left"/>
              <w:rPr>
                <w:b/>
                <w:sz w:val="17"/>
                <w:szCs w:val="17"/>
              </w:rPr>
            </w:pPr>
          </w:p>
          <w:p w14:paraId="3A3173F5" w14:textId="62ED1DF5" w:rsidR="00CD33E6" w:rsidRDefault="00CD33E6" w:rsidP="0059185F">
            <w:pPr>
              <w:jc w:val="left"/>
              <w:rPr>
                <w:b/>
                <w:sz w:val="17"/>
                <w:szCs w:val="17"/>
              </w:rPr>
            </w:pPr>
          </w:p>
        </w:tc>
        <w:tc>
          <w:tcPr>
            <w:tcW w:w="1880" w:type="dxa"/>
            <w:tcBorders>
              <w:top w:val="single" w:sz="4" w:space="0" w:color="78716C" w:themeColor="accent5"/>
              <w:bottom w:val="single" w:sz="4" w:space="0" w:color="auto"/>
            </w:tcBorders>
            <w:shd w:val="clear" w:color="auto" w:fill="auto"/>
          </w:tcPr>
          <w:p w14:paraId="163A426B" w14:textId="0F37020A" w:rsidR="00F53286" w:rsidRPr="00F53286" w:rsidRDefault="00A324C3" w:rsidP="0059185F">
            <w:pPr>
              <w:jc w:val="left"/>
              <w:rPr>
                <w:sz w:val="17"/>
                <w:szCs w:val="17"/>
              </w:rPr>
            </w:pPr>
            <w:hyperlink r:id="rId99" w:history="1">
              <w:r w:rsidR="00F53286" w:rsidRPr="00F53286">
                <w:rPr>
                  <w:rStyle w:val="Hyperlink"/>
                  <w:sz w:val="17"/>
                  <w:szCs w:val="17"/>
                </w:rPr>
                <w:t>Central Bank publishes research on consumer expectations and behaviours and their effects on economic outcomes</w:t>
              </w:r>
            </w:hyperlink>
          </w:p>
        </w:tc>
        <w:tc>
          <w:tcPr>
            <w:tcW w:w="1819" w:type="dxa"/>
            <w:tcBorders>
              <w:top w:val="single" w:sz="4" w:space="0" w:color="78716C" w:themeColor="accent5"/>
              <w:bottom w:val="single" w:sz="4" w:space="0" w:color="auto"/>
            </w:tcBorders>
            <w:shd w:val="clear" w:color="auto" w:fill="auto"/>
          </w:tcPr>
          <w:p w14:paraId="5412B020" w14:textId="77777777" w:rsidR="00F53286" w:rsidRPr="00166D67" w:rsidRDefault="00F53286" w:rsidP="0059185F">
            <w:pPr>
              <w:jc w:val="left"/>
              <w:rPr>
                <w:color w:val="FF0000"/>
                <w:sz w:val="17"/>
                <w:szCs w:val="17"/>
                <w:highlight w:val="red"/>
              </w:rPr>
            </w:pPr>
          </w:p>
        </w:tc>
        <w:tc>
          <w:tcPr>
            <w:tcW w:w="2155" w:type="dxa"/>
            <w:tcBorders>
              <w:top w:val="single" w:sz="4" w:space="0" w:color="78716C" w:themeColor="accent5"/>
              <w:bottom w:val="single" w:sz="4" w:space="0" w:color="auto"/>
            </w:tcBorders>
            <w:shd w:val="clear" w:color="auto" w:fill="auto"/>
          </w:tcPr>
          <w:p w14:paraId="6BFBB0BC" w14:textId="1BA79A80" w:rsidR="00F53286" w:rsidRPr="00173884" w:rsidRDefault="001F1ABC" w:rsidP="0059185F">
            <w:pPr>
              <w:jc w:val="left"/>
              <w:rPr>
                <w:sz w:val="17"/>
                <w:szCs w:val="17"/>
              </w:rPr>
            </w:pPr>
            <w:r w:rsidRPr="00173884">
              <w:rPr>
                <w:sz w:val="17"/>
                <w:szCs w:val="17"/>
              </w:rPr>
              <w:t>All Regulated Financial Services Providers and Consumers</w:t>
            </w:r>
          </w:p>
        </w:tc>
        <w:tc>
          <w:tcPr>
            <w:tcW w:w="5523" w:type="dxa"/>
            <w:tcBorders>
              <w:top w:val="single" w:sz="4" w:space="0" w:color="78716C" w:themeColor="accent5"/>
              <w:bottom w:val="single" w:sz="4" w:space="0" w:color="auto"/>
            </w:tcBorders>
            <w:shd w:val="clear" w:color="auto" w:fill="auto"/>
          </w:tcPr>
          <w:p w14:paraId="31B818D4" w14:textId="5FF2D089" w:rsidR="00CD33E6" w:rsidRDefault="00F53286" w:rsidP="00CD33E6">
            <w:pPr>
              <w:jc w:val="left"/>
              <w:rPr>
                <w:sz w:val="17"/>
                <w:szCs w:val="17"/>
              </w:rPr>
            </w:pPr>
            <w:r>
              <w:rPr>
                <w:sz w:val="17"/>
                <w:szCs w:val="17"/>
              </w:rPr>
              <w:t>On 15 December 2020, the CBI published two Economic Letters – "</w:t>
            </w:r>
            <w:hyperlink r:id="rId100" w:history="1">
              <w:r w:rsidRPr="00F53286">
                <w:rPr>
                  <w:rStyle w:val="Hyperlink"/>
                  <w:sz w:val="17"/>
                  <w:szCs w:val="17"/>
                </w:rPr>
                <w:t>The impact of Covid-19 on consumer spending</w:t>
              </w:r>
            </w:hyperlink>
            <w:r>
              <w:rPr>
                <w:sz w:val="17"/>
                <w:szCs w:val="17"/>
              </w:rPr>
              <w:t>" and "</w:t>
            </w:r>
            <w:hyperlink r:id="rId101" w:history="1">
              <w:r w:rsidRPr="00F53286">
                <w:rPr>
                  <w:rStyle w:val="Hyperlink"/>
                  <w:sz w:val="17"/>
                  <w:szCs w:val="17"/>
                </w:rPr>
                <w:t>Inflation Expectations of Euro Area Consumers and Firms</w:t>
              </w:r>
            </w:hyperlink>
            <w:r>
              <w:rPr>
                <w:sz w:val="17"/>
                <w:szCs w:val="17"/>
              </w:rPr>
              <w:t xml:space="preserve">". Understanding consumer behaviour is central to both letters along with suggestions for future policy in relation to same. The first letter shows that consumption fell less severely in October than in March following the various measures put in place and that spending shifted from </w:t>
            </w:r>
            <w:r w:rsidR="00045B15">
              <w:rPr>
                <w:sz w:val="17"/>
                <w:szCs w:val="17"/>
              </w:rPr>
              <w:t xml:space="preserve">outside to inside the home. The first letter also shows that there was an increase in saving which could help support future spending but that because this was more prevalent in higher income households, it's </w:t>
            </w:r>
            <w:r w:rsidR="001F1ABC">
              <w:rPr>
                <w:sz w:val="17"/>
                <w:szCs w:val="17"/>
              </w:rPr>
              <w:t xml:space="preserve">more likely to be spent slower. </w:t>
            </w:r>
            <w:r w:rsidR="00045B15">
              <w:rPr>
                <w:sz w:val="17"/>
                <w:szCs w:val="17"/>
              </w:rPr>
              <w:t>The second letter looks at the factors influencing inflation expectations listing confidence in the economy, food and energy prices and expected labour market conditions for firms and past economic situations for consumers as the strongest.</w:t>
            </w:r>
          </w:p>
        </w:tc>
      </w:tr>
      <w:tr w:rsidR="00CD33E6" w:rsidRPr="00166D67" w14:paraId="324AFD50" w14:textId="77777777" w:rsidTr="00CD33E6">
        <w:trPr>
          <w:cantSplit/>
        </w:trPr>
        <w:tc>
          <w:tcPr>
            <w:tcW w:w="1097" w:type="dxa"/>
            <w:tcBorders>
              <w:top w:val="single" w:sz="4" w:space="0" w:color="78716C" w:themeColor="accent5"/>
              <w:bottom w:val="single" w:sz="4" w:space="0" w:color="auto"/>
            </w:tcBorders>
            <w:shd w:val="clear" w:color="auto" w:fill="auto"/>
          </w:tcPr>
          <w:p w14:paraId="42DB733A" w14:textId="77777777" w:rsidR="00CD33E6" w:rsidRPr="000218B2" w:rsidRDefault="00CD33E6" w:rsidP="0059185F">
            <w:pPr>
              <w:jc w:val="left"/>
              <w:rPr>
                <w:b/>
                <w:sz w:val="17"/>
                <w:szCs w:val="17"/>
              </w:rPr>
            </w:pPr>
            <w:r w:rsidRPr="000218B2">
              <w:rPr>
                <w:b/>
                <w:sz w:val="17"/>
                <w:szCs w:val="17"/>
              </w:rPr>
              <w:t>23 December</w:t>
            </w:r>
          </w:p>
          <w:p w14:paraId="51EAC9A8" w14:textId="4627A375" w:rsidR="00CD33E6" w:rsidRPr="000218B2" w:rsidRDefault="00CD33E6" w:rsidP="0059185F">
            <w:pPr>
              <w:jc w:val="left"/>
              <w:rPr>
                <w:b/>
                <w:sz w:val="17"/>
                <w:szCs w:val="17"/>
              </w:rPr>
            </w:pPr>
            <w:r w:rsidRPr="000218B2">
              <w:rPr>
                <w:b/>
                <w:sz w:val="17"/>
                <w:szCs w:val="17"/>
              </w:rPr>
              <w:t>2020</w:t>
            </w:r>
          </w:p>
        </w:tc>
        <w:tc>
          <w:tcPr>
            <w:tcW w:w="1880" w:type="dxa"/>
            <w:tcBorders>
              <w:top w:val="single" w:sz="4" w:space="0" w:color="78716C" w:themeColor="accent5"/>
              <w:bottom w:val="single" w:sz="4" w:space="0" w:color="auto"/>
            </w:tcBorders>
            <w:shd w:val="clear" w:color="auto" w:fill="auto"/>
          </w:tcPr>
          <w:p w14:paraId="374701D5" w14:textId="02A98480" w:rsidR="00CD33E6" w:rsidRPr="000218B2" w:rsidRDefault="00CD33E6" w:rsidP="0059185F">
            <w:pPr>
              <w:jc w:val="left"/>
            </w:pPr>
            <w:r w:rsidRPr="000218B2">
              <w:t xml:space="preserve"> </w:t>
            </w:r>
            <w:hyperlink r:id="rId102" w:history="1">
              <w:r w:rsidRPr="000218B2">
                <w:rPr>
                  <w:rStyle w:val="Hyperlink"/>
                </w:rPr>
                <w:t>Central Bank and IOSCO report on retail market conduct issues arising from Covid-19</w:t>
              </w:r>
            </w:hyperlink>
            <w:r w:rsidRPr="000218B2">
              <w:t xml:space="preserve"> </w:t>
            </w:r>
          </w:p>
        </w:tc>
        <w:tc>
          <w:tcPr>
            <w:tcW w:w="1819" w:type="dxa"/>
            <w:tcBorders>
              <w:top w:val="single" w:sz="4" w:space="0" w:color="78716C" w:themeColor="accent5"/>
              <w:bottom w:val="single" w:sz="4" w:space="0" w:color="auto"/>
            </w:tcBorders>
            <w:shd w:val="clear" w:color="auto" w:fill="auto"/>
          </w:tcPr>
          <w:p w14:paraId="3A1E0D04" w14:textId="77777777" w:rsidR="00CD33E6" w:rsidRPr="000218B2" w:rsidRDefault="00CD33E6" w:rsidP="0059185F">
            <w:pPr>
              <w:jc w:val="left"/>
              <w:rPr>
                <w:color w:val="FF0000"/>
                <w:sz w:val="17"/>
                <w:szCs w:val="17"/>
              </w:rPr>
            </w:pPr>
          </w:p>
        </w:tc>
        <w:tc>
          <w:tcPr>
            <w:tcW w:w="2155" w:type="dxa"/>
            <w:tcBorders>
              <w:top w:val="single" w:sz="4" w:space="0" w:color="78716C" w:themeColor="accent5"/>
              <w:bottom w:val="single" w:sz="4" w:space="0" w:color="auto"/>
            </w:tcBorders>
            <w:shd w:val="clear" w:color="auto" w:fill="auto"/>
          </w:tcPr>
          <w:p w14:paraId="2DE6149E" w14:textId="08F881FE" w:rsidR="00CD33E6" w:rsidRPr="000218B2" w:rsidRDefault="00CD33E6" w:rsidP="0059185F">
            <w:pPr>
              <w:jc w:val="left"/>
              <w:rPr>
                <w:sz w:val="17"/>
                <w:szCs w:val="17"/>
              </w:rPr>
            </w:pPr>
            <w:r w:rsidRPr="000218B2">
              <w:rPr>
                <w:sz w:val="17"/>
                <w:szCs w:val="17"/>
              </w:rPr>
              <w:t>Regulated Financial Services Providers operating in the retail market</w:t>
            </w:r>
          </w:p>
        </w:tc>
        <w:tc>
          <w:tcPr>
            <w:tcW w:w="5523" w:type="dxa"/>
            <w:tcBorders>
              <w:top w:val="single" w:sz="4" w:space="0" w:color="78716C" w:themeColor="accent5"/>
              <w:bottom w:val="single" w:sz="4" w:space="0" w:color="auto"/>
            </w:tcBorders>
            <w:shd w:val="clear" w:color="auto" w:fill="auto"/>
          </w:tcPr>
          <w:p w14:paraId="6EB1B3C8" w14:textId="76BCBB9D" w:rsidR="00CD33E6" w:rsidRPr="000218B2" w:rsidRDefault="00CD33E6" w:rsidP="00CD33E6">
            <w:pPr>
              <w:jc w:val="left"/>
              <w:rPr>
                <w:sz w:val="17"/>
                <w:szCs w:val="17"/>
              </w:rPr>
            </w:pPr>
            <w:r w:rsidRPr="000218B2">
              <w:rPr>
                <w:sz w:val="17"/>
                <w:szCs w:val="17"/>
              </w:rPr>
              <w:t xml:space="preserve">The report details common retail market conduct risks which are caused or emphasised by the pandemic. These include the unique market environment, the impact on firm and investor behaviour, the drivers of retail misconduct and the challenges and opportunities for regulators. The report also identifies a number of common theses such as volatility, heightened stressors, social distancing and remote working. </w:t>
            </w:r>
          </w:p>
        </w:tc>
      </w:tr>
      <w:tr w:rsidR="004C0BE0" w:rsidRPr="00166D67" w14:paraId="388A531C" w14:textId="77777777" w:rsidTr="000D5894">
        <w:trPr>
          <w:cantSplit/>
        </w:trPr>
        <w:tc>
          <w:tcPr>
            <w:tcW w:w="1097" w:type="dxa"/>
            <w:shd w:val="clear" w:color="auto" w:fill="auto"/>
          </w:tcPr>
          <w:p w14:paraId="0662DE26" w14:textId="2714F837" w:rsidR="004C0BE0" w:rsidRPr="000218B2" w:rsidRDefault="004C0BE0" w:rsidP="004C0BE0">
            <w:pPr>
              <w:jc w:val="left"/>
              <w:rPr>
                <w:b/>
                <w:sz w:val="17"/>
                <w:szCs w:val="17"/>
              </w:rPr>
            </w:pPr>
            <w:r w:rsidRPr="000218B2">
              <w:rPr>
                <w:b/>
                <w:sz w:val="17"/>
                <w:szCs w:val="17"/>
              </w:rPr>
              <w:t>25 January 2021</w:t>
            </w:r>
          </w:p>
        </w:tc>
        <w:tc>
          <w:tcPr>
            <w:tcW w:w="1880" w:type="dxa"/>
            <w:shd w:val="clear" w:color="auto" w:fill="auto"/>
          </w:tcPr>
          <w:p w14:paraId="19F0FD32" w14:textId="6A8322EE" w:rsidR="004C0BE0" w:rsidRPr="000218B2" w:rsidRDefault="00A324C3" w:rsidP="004C0BE0">
            <w:pPr>
              <w:jc w:val="left"/>
            </w:pPr>
            <w:hyperlink r:id="rId103" w:history="1">
              <w:r w:rsidR="004C0BE0" w:rsidRPr="000218B2">
                <w:rPr>
                  <w:rStyle w:val="Hyperlink"/>
                  <w:sz w:val="17"/>
                  <w:szCs w:val="17"/>
                </w:rPr>
                <w:t xml:space="preserve">“We must look beyond the pandemic to improve our understanding of longer term risks” - Governor Gabriel </w:t>
              </w:r>
              <w:proofErr w:type="spellStart"/>
              <w:r w:rsidR="004C0BE0" w:rsidRPr="000218B2">
                <w:rPr>
                  <w:rStyle w:val="Hyperlink"/>
                  <w:sz w:val="17"/>
                  <w:szCs w:val="17"/>
                </w:rPr>
                <w:t>Makhlouf</w:t>
              </w:r>
              <w:proofErr w:type="spellEnd"/>
            </w:hyperlink>
          </w:p>
        </w:tc>
        <w:tc>
          <w:tcPr>
            <w:tcW w:w="1819" w:type="dxa"/>
            <w:shd w:val="clear" w:color="auto" w:fill="auto"/>
          </w:tcPr>
          <w:p w14:paraId="4D2E3324" w14:textId="77777777" w:rsidR="004C0BE0" w:rsidRPr="000218B2" w:rsidRDefault="004C0BE0" w:rsidP="004C0BE0">
            <w:pPr>
              <w:jc w:val="left"/>
              <w:rPr>
                <w:color w:val="FF0000"/>
                <w:sz w:val="17"/>
                <w:szCs w:val="17"/>
              </w:rPr>
            </w:pPr>
          </w:p>
        </w:tc>
        <w:tc>
          <w:tcPr>
            <w:tcW w:w="2155" w:type="dxa"/>
            <w:shd w:val="clear" w:color="auto" w:fill="auto"/>
          </w:tcPr>
          <w:p w14:paraId="006CCCF7" w14:textId="43DFF334" w:rsidR="004C0BE0" w:rsidRPr="000218B2" w:rsidRDefault="004C0BE0" w:rsidP="004C0BE0">
            <w:pPr>
              <w:jc w:val="left"/>
              <w:rPr>
                <w:sz w:val="17"/>
                <w:szCs w:val="17"/>
              </w:rPr>
            </w:pPr>
            <w:r w:rsidRPr="000218B2">
              <w:rPr>
                <w:sz w:val="17"/>
                <w:szCs w:val="17"/>
              </w:rPr>
              <w:t>All Regulated Financial Services Providers</w:t>
            </w:r>
          </w:p>
        </w:tc>
        <w:tc>
          <w:tcPr>
            <w:tcW w:w="5523" w:type="dxa"/>
            <w:shd w:val="clear" w:color="auto" w:fill="auto"/>
          </w:tcPr>
          <w:p w14:paraId="68FFCDE2" w14:textId="0181FD91" w:rsidR="004C0BE0" w:rsidRPr="000218B2" w:rsidRDefault="004C0BE0" w:rsidP="004C0BE0">
            <w:pPr>
              <w:jc w:val="left"/>
              <w:rPr>
                <w:sz w:val="17"/>
                <w:szCs w:val="17"/>
              </w:rPr>
            </w:pPr>
            <w:r w:rsidRPr="000218B2">
              <w:rPr>
                <w:sz w:val="17"/>
                <w:szCs w:val="17"/>
              </w:rPr>
              <w:t xml:space="preserve">As part of the Central Bank's outreach programme, the Governor of the Central Bank of Ireland Gabriel </w:t>
            </w:r>
            <w:proofErr w:type="spellStart"/>
            <w:r w:rsidRPr="000218B2">
              <w:rPr>
                <w:sz w:val="17"/>
                <w:szCs w:val="17"/>
              </w:rPr>
              <w:t>Makhlouf</w:t>
            </w:r>
            <w:proofErr w:type="spellEnd"/>
            <w:r w:rsidRPr="000218B2">
              <w:rPr>
                <w:sz w:val="17"/>
                <w:szCs w:val="17"/>
              </w:rPr>
              <w:t xml:space="preserve"> spoke virtually to staff and students of the University of Limerick as well as representatives of local businesses on 25 January. The topics discussed included the economic outlook for the Irish economy for the coming year, the Central Bank's priorities for 2021 and the Central Bank's engagement with key stakeholders in the economy. Mr </w:t>
            </w:r>
            <w:proofErr w:type="spellStart"/>
            <w:r w:rsidRPr="000218B2">
              <w:rPr>
                <w:sz w:val="17"/>
                <w:szCs w:val="17"/>
              </w:rPr>
              <w:t>Makhlouf</w:t>
            </w:r>
            <w:proofErr w:type="spellEnd"/>
            <w:r w:rsidRPr="000218B2">
              <w:rPr>
                <w:sz w:val="17"/>
                <w:szCs w:val="17"/>
              </w:rPr>
              <w:t xml:space="preserve"> noted that the Central Bank's focus will be on enhancing its understanding of the impacts of the COVID-19 Pandemic and taking any steps necessary to support the recovery of the financial system. Consumer protection remains a priority and the Central Bank plans to develop and enhance the regulatory framework and its supervisory approach by reviewing the Consumer Protection Code, taking steps to address the practice of price differentiation in the Irish insurance market and ensuring firms implement a customer-focused approach when resolving business interruption issues arising from Covid-19. The Governor also noted that further engagement with stakeholders and users of financial services is envisaged through the Central Bank’s Civil Society Roundtable and Consumer Advisory Group.</w:t>
            </w:r>
          </w:p>
        </w:tc>
      </w:tr>
      <w:tr w:rsidR="00D376E8" w:rsidRPr="00166D67" w14:paraId="485A4081" w14:textId="77777777" w:rsidTr="000D5894">
        <w:trPr>
          <w:cantSplit/>
        </w:trPr>
        <w:tc>
          <w:tcPr>
            <w:tcW w:w="1097" w:type="dxa"/>
            <w:shd w:val="clear" w:color="auto" w:fill="auto"/>
          </w:tcPr>
          <w:p w14:paraId="49610EFD" w14:textId="1177E2D0" w:rsidR="00D376E8" w:rsidRPr="00533B6A" w:rsidRDefault="00D376E8" w:rsidP="004C0BE0">
            <w:pPr>
              <w:jc w:val="left"/>
              <w:rPr>
                <w:b/>
                <w:sz w:val="17"/>
                <w:szCs w:val="17"/>
              </w:rPr>
            </w:pPr>
            <w:r w:rsidRPr="00533B6A">
              <w:rPr>
                <w:b/>
                <w:sz w:val="17"/>
                <w:szCs w:val="17"/>
              </w:rPr>
              <w:t>2 February 2021</w:t>
            </w:r>
          </w:p>
        </w:tc>
        <w:tc>
          <w:tcPr>
            <w:tcW w:w="1880" w:type="dxa"/>
            <w:shd w:val="clear" w:color="auto" w:fill="auto"/>
          </w:tcPr>
          <w:p w14:paraId="2B88E0DE" w14:textId="5C32CCE0" w:rsidR="00D376E8" w:rsidRPr="00533B6A" w:rsidRDefault="00A324C3" w:rsidP="004C0BE0">
            <w:pPr>
              <w:jc w:val="left"/>
              <w:rPr>
                <w:sz w:val="17"/>
                <w:szCs w:val="17"/>
              </w:rPr>
            </w:pPr>
            <w:hyperlink r:id="rId104" w:history="1">
              <w:r w:rsidR="00D376E8" w:rsidRPr="00533B6A">
                <w:rPr>
                  <w:rStyle w:val="Hyperlink"/>
                  <w:sz w:val="17"/>
                  <w:szCs w:val="17"/>
                </w:rPr>
                <w:t>COVID-19 - Prudential Regulatory Flexibility Measures: Securities Markets, Investment Management, Investment Firms and Fund Service Providers (updated 2 February 2021)</w:t>
              </w:r>
            </w:hyperlink>
          </w:p>
        </w:tc>
        <w:tc>
          <w:tcPr>
            <w:tcW w:w="1819" w:type="dxa"/>
            <w:shd w:val="clear" w:color="auto" w:fill="auto"/>
          </w:tcPr>
          <w:p w14:paraId="3D278023" w14:textId="77777777" w:rsidR="00D376E8" w:rsidRPr="00533B6A" w:rsidRDefault="00D376E8" w:rsidP="004C0BE0">
            <w:pPr>
              <w:jc w:val="left"/>
              <w:rPr>
                <w:color w:val="FF0000"/>
                <w:sz w:val="17"/>
                <w:szCs w:val="17"/>
              </w:rPr>
            </w:pPr>
          </w:p>
        </w:tc>
        <w:tc>
          <w:tcPr>
            <w:tcW w:w="2155" w:type="dxa"/>
            <w:shd w:val="clear" w:color="auto" w:fill="auto"/>
          </w:tcPr>
          <w:p w14:paraId="2F6B903D" w14:textId="686E6AA5" w:rsidR="00D376E8" w:rsidRPr="00533B6A" w:rsidRDefault="00D376E8" w:rsidP="004C0BE0">
            <w:pPr>
              <w:jc w:val="left"/>
              <w:rPr>
                <w:sz w:val="17"/>
                <w:szCs w:val="17"/>
              </w:rPr>
            </w:pPr>
            <w:r w:rsidRPr="00533B6A">
              <w:rPr>
                <w:sz w:val="17"/>
                <w:szCs w:val="17"/>
              </w:rPr>
              <w:t>Investment Manager and Investment Firms</w:t>
            </w:r>
          </w:p>
        </w:tc>
        <w:tc>
          <w:tcPr>
            <w:tcW w:w="5523" w:type="dxa"/>
            <w:shd w:val="clear" w:color="auto" w:fill="auto"/>
          </w:tcPr>
          <w:p w14:paraId="4AC3721E" w14:textId="77777777" w:rsidR="00D376E8" w:rsidRPr="00533B6A" w:rsidRDefault="00D376E8" w:rsidP="00D376E8">
            <w:pPr>
              <w:jc w:val="left"/>
              <w:rPr>
                <w:sz w:val="17"/>
                <w:szCs w:val="17"/>
              </w:rPr>
            </w:pPr>
            <w:r w:rsidRPr="00533B6A">
              <w:rPr>
                <w:sz w:val="17"/>
                <w:szCs w:val="17"/>
              </w:rPr>
              <w:t xml:space="preserve">The Central Bank of Ireland has issued a statement addressing the flexibility measures which were afforded to firms and market participants in recognition of the challenges faced by them as a result of the COVID-19 pandemic. In its statement, the Central Bank noted that the following measures have expired and will not be extended: </w:t>
            </w:r>
          </w:p>
          <w:p w14:paraId="10CE36B4" w14:textId="77777777" w:rsidR="00D376E8" w:rsidRPr="00533B6A" w:rsidRDefault="00D376E8" w:rsidP="00D376E8">
            <w:pPr>
              <w:jc w:val="left"/>
              <w:rPr>
                <w:sz w:val="17"/>
                <w:szCs w:val="17"/>
              </w:rPr>
            </w:pPr>
          </w:p>
          <w:p w14:paraId="0AB9950F" w14:textId="524C85CE" w:rsidR="00D376E8" w:rsidRPr="00533B6A" w:rsidRDefault="00D376E8" w:rsidP="00D376E8">
            <w:pPr>
              <w:pStyle w:val="ListParagraph"/>
              <w:numPr>
                <w:ilvl w:val="0"/>
                <w:numId w:val="30"/>
              </w:numPr>
              <w:jc w:val="left"/>
              <w:rPr>
                <w:sz w:val="17"/>
                <w:szCs w:val="17"/>
              </w:rPr>
            </w:pPr>
            <w:r w:rsidRPr="00533B6A">
              <w:rPr>
                <w:sz w:val="17"/>
                <w:szCs w:val="17"/>
              </w:rPr>
              <w:t>Regulatory remittance dates for investment firms, fund service providers and investment funds;</w:t>
            </w:r>
          </w:p>
          <w:p w14:paraId="41583BBC" w14:textId="098FE50B" w:rsidR="00D376E8" w:rsidRPr="00533B6A" w:rsidRDefault="00D376E8" w:rsidP="00D376E8">
            <w:pPr>
              <w:pStyle w:val="ListParagraph"/>
              <w:numPr>
                <w:ilvl w:val="0"/>
                <w:numId w:val="30"/>
              </w:numPr>
              <w:jc w:val="left"/>
              <w:rPr>
                <w:sz w:val="17"/>
                <w:szCs w:val="17"/>
              </w:rPr>
            </w:pPr>
            <w:r w:rsidRPr="00533B6A">
              <w:rPr>
                <w:sz w:val="17"/>
                <w:szCs w:val="17"/>
              </w:rPr>
              <w:t>Pillar 3 disclosures; and</w:t>
            </w:r>
          </w:p>
          <w:p w14:paraId="29CDB32C" w14:textId="77777777" w:rsidR="00D376E8" w:rsidRPr="00533B6A" w:rsidRDefault="00D376E8" w:rsidP="00D376E8">
            <w:pPr>
              <w:pStyle w:val="ListParagraph"/>
              <w:numPr>
                <w:ilvl w:val="0"/>
                <w:numId w:val="30"/>
              </w:numPr>
              <w:jc w:val="left"/>
              <w:rPr>
                <w:sz w:val="17"/>
                <w:szCs w:val="17"/>
              </w:rPr>
            </w:pPr>
            <w:r w:rsidRPr="00533B6A">
              <w:rPr>
                <w:sz w:val="17"/>
                <w:szCs w:val="17"/>
              </w:rPr>
              <w:t>The submission of assurance reports in respect of investment firms and fund service providers’ arrangements for the safeguarding of client assets or investor money.</w:t>
            </w:r>
          </w:p>
          <w:p w14:paraId="4BD4C0D6" w14:textId="77777777" w:rsidR="00D376E8" w:rsidRPr="00533B6A" w:rsidRDefault="00D376E8" w:rsidP="00D376E8">
            <w:pPr>
              <w:jc w:val="left"/>
              <w:rPr>
                <w:sz w:val="17"/>
                <w:szCs w:val="17"/>
              </w:rPr>
            </w:pPr>
          </w:p>
          <w:p w14:paraId="4C893F9D" w14:textId="033E6A88" w:rsidR="00D376E8" w:rsidRPr="00533B6A" w:rsidRDefault="00D376E8" w:rsidP="00D376E8">
            <w:pPr>
              <w:jc w:val="left"/>
              <w:rPr>
                <w:sz w:val="17"/>
                <w:szCs w:val="17"/>
              </w:rPr>
            </w:pPr>
            <w:r w:rsidRPr="00533B6A">
              <w:rPr>
                <w:sz w:val="17"/>
                <w:szCs w:val="17"/>
              </w:rPr>
              <w:t>The Central Bank also set out its expectation in relation to risk mitigation programme (RMP) implementation dates and clarified its expectations as regards the application of Pillar 2 Guidance by MiFID investment firms subject to CRR/CRD IV. The statement provides that the Central Bank will continue to apply relevant announcements made by the European Supervisory Authorities (ESAs), to the extent they have not expired on their terms, and in order to allow limited and time-bound flexibility in specified areas.</w:t>
            </w:r>
          </w:p>
        </w:tc>
      </w:tr>
      <w:tr w:rsidR="005C0F8F" w:rsidRPr="00166D67" w14:paraId="57D23962" w14:textId="77777777" w:rsidTr="000D5894">
        <w:trPr>
          <w:cantSplit/>
        </w:trPr>
        <w:tc>
          <w:tcPr>
            <w:tcW w:w="1097" w:type="dxa"/>
            <w:shd w:val="clear" w:color="auto" w:fill="auto"/>
          </w:tcPr>
          <w:p w14:paraId="45A080B7" w14:textId="38AC097A" w:rsidR="005C0F8F" w:rsidRPr="002229FD" w:rsidRDefault="005C0F8F" w:rsidP="004C0BE0">
            <w:pPr>
              <w:jc w:val="left"/>
              <w:rPr>
                <w:b/>
                <w:sz w:val="17"/>
                <w:szCs w:val="17"/>
              </w:rPr>
            </w:pPr>
            <w:r w:rsidRPr="002229FD">
              <w:rPr>
                <w:b/>
                <w:sz w:val="17"/>
                <w:szCs w:val="17"/>
              </w:rPr>
              <w:t>17 February 2021</w:t>
            </w:r>
          </w:p>
        </w:tc>
        <w:tc>
          <w:tcPr>
            <w:tcW w:w="1880" w:type="dxa"/>
            <w:shd w:val="clear" w:color="auto" w:fill="auto"/>
          </w:tcPr>
          <w:p w14:paraId="3976C02D" w14:textId="07B77FE5" w:rsidR="005C0F8F" w:rsidRPr="002229FD" w:rsidRDefault="00A324C3" w:rsidP="004C0BE0">
            <w:pPr>
              <w:jc w:val="left"/>
              <w:rPr>
                <w:sz w:val="17"/>
                <w:szCs w:val="17"/>
              </w:rPr>
            </w:pPr>
            <w:hyperlink r:id="rId105" w:history="1">
              <w:r w:rsidR="005C0F8F" w:rsidRPr="002229FD">
                <w:rPr>
                  <w:rStyle w:val="Hyperlink"/>
                  <w:sz w:val="17"/>
                  <w:szCs w:val="17"/>
                </w:rPr>
                <w:t>COVID-19 shows that we need to think afresh about how we govern and manage risk – Deputy Governor, Ed Sibley</w:t>
              </w:r>
            </w:hyperlink>
          </w:p>
        </w:tc>
        <w:tc>
          <w:tcPr>
            <w:tcW w:w="1819" w:type="dxa"/>
            <w:shd w:val="clear" w:color="auto" w:fill="auto"/>
          </w:tcPr>
          <w:p w14:paraId="1BB75411" w14:textId="77777777" w:rsidR="005C0F8F" w:rsidRPr="002229FD" w:rsidRDefault="005C0F8F" w:rsidP="004C0BE0">
            <w:pPr>
              <w:jc w:val="left"/>
              <w:rPr>
                <w:color w:val="FF0000"/>
                <w:sz w:val="17"/>
                <w:szCs w:val="17"/>
              </w:rPr>
            </w:pPr>
          </w:p>
        </w:tc>
        <w:tc>
          <w:tcPr>
            <w:tcW w:w="2155" w:type="dxa"/>
            <w:shd w:val="clear" w:color="auto" w:fill="auto"/>
          </w:tcPr>
          <w:p w14:paraId="6320E238" w14:textId="445C6CE9" w:rsidR="005C0F8F" w:rsidRPr="002229FD" w:rsidRDefault="00277171" w:rsidP="004C0BE0">
            <w:pPr>
              <w:jc w:val="left"/>
              <w:rPr>
                <w:sz w:val="17"/>
                <w:szCs w:val="17"/>
              </w:rPr>
            </w:pPr>
            <w:r w:rsidRPr="002229FD">
              <w:rPr>
                <w:sz w:val="17"/>
                <w:szCs w:val="17"/>
              </w:rPr>
              <w:t>All Regulated Financial Services Providers</w:t>
            </w:r>
          </w:p>
        </w:tc>
        <w:tc>
          <w:tcPr>
            <w:tcW w:w="5523" w:type="dxa"/>
            <w:shd w:val="clear" w:color="auto" w:fill="auto"/>
          </w:tcPr>
          <w:p w14:paraId="318C0CC4" w14:textId="5C3A004A" w:rsidR="005C0F8F" w:rsidRPr="002229FD" w:rsidRDefault="008F20D9" w:rsidP="008F20D9">
            <w:pPr>
              <w:jc w:val="left"/>
              <w:rPr>
                <w:sz w:val="17"/>
                <w:szCs w:val="17"/>
              </w:rPr>
            </w:pPr>
            <w:r w:rsidRPr="002229FD">
              <w:rPr>
                <w:sz w:val="17"/>
                <w:szCs w:val="17"/>
              </w:rPr>
              <w:t>Deputy Governor, Ed Sibley, gave a speech at a virtual Lunch Bites webinar at the Institute of Directors webinar on 17 February 2021. In his talk Mr Sibley noted that COVID-19 has resulted in increased focus being placed on the levels of preparedness and thinking on emerging risks such as climate change and technological innovation. Mr Sibley discussed the implications of uncertainty on how organisations are governed, led and managed and emphasised the importance of good governance and risk m</w:t>
            </w:r>
            <w:r w:rsidR="00277171" w:rsidRPr="002229FD">
              <w:rPr>
                <w:sz w:val="17"/>
                <w:szCs w:val="17"/>
              </w:rPr>
              <w:t xml:space="preserve">anagement for regulated firms. </w:t>
            </w:r>
            <w:r w:rsidRPr="002229FD">
              <w:rPr>
                <w:sz w:val="17"/>
                <w:szCs w:val="17"/>
              </w:rPr>
              <w:t>Mr Sibley stated that: "</w:t>
            </w:r>
            <w:r w:rsidRPr="002229FD">
              <w:rPr>
                <w:i/>
                <w:sz w:val="17"/>
                <w:szCs w:val="17"/>
              </w:rPr>
              <w:t>We are living through a time of great uncertainty – uncertainty over the short term path of the pandemic and its longer term effects; uncertainty regarding the pace and extent of technology and related behavioural changes; uncertainty about the timing of the effects of climate change; and much more besides. This uncertainty has implications for how we think about risk and probabilities, and importantly how we govern, lead and manage our organisations</w:t>
            </w:r>
            <w:r w:rsidRPr="002229FD">
              <w:rPr>
                <w:sz w:val="17"/>
                <w:szCs w:val="17"/>
              </w:rPr>
              <w:t>.”</w:t>
            </w:r>
          </w:p>
          <w:p w14:paraId="7BD52DE0" w14:textId="77777777" w:rsidR="008F20D9" w:rsidRPr="002229FD" w:rsidRDefault="008F20D9" w:rsidP="008F20D9">
            <w:pPr>
              <w:jc w:val="left"/>
              <w:rPr>
                <w:sz w:val="17"/>
                <w:szCs w:val="17"/>
              </w:rPr>
            </w:pPr>
          </w:p>
          <w:p w14:paraId="1FF55725" w14:textId="77777777" w:rsidR="008F20D9" w:rsidRPr="002229FD" w:rsidRDefault="008F20D9" w:rsidP="008F20D9">
            <w:pPr>
              <w:jc w:val="left"/>
              <w:rPr>
                <w:sz w:val="17"/>
                <w:szCs w:val="17"/>
              </w:rPr>
            </w:pPr>
            <w:r w:rsidRPr="002229FD">
              <w:rPr>
                <w:sz w:val="17"/>
                <w:szCs w:val="17"/>
              </w:rPr>
              <w:t xml:space="preserve">Mr Sibley outlined that the Central Bank's strategic priorities for financial regulation in 2021 are as follows: </w:t>
            </w:r>
          </w:p>
          <w:p w14:paraId="0B1A81C8" w14:textId="77777777" w:rsidR="008F20D9" w:rsidRPr="002229FD" w:rsidRDefault="008F20D9" w:rsidP="008F20D9">
            <w:pPr>
              <w:pStyle w:val="ListParagraph"/>
              <w:numPr>
                <w:ilvl w:val="0"/>
                <w:numId w:val="31"/>
              </w:numPr>
              <w:jc w:val="left"/>
              <w:rPr>
                <w:sz w:val="17"/>
                <w:szCs w:val="17"/>
              </w:rPr>
            </w:pPr>
            <w:r w:rsidRPr="002229FD">
              <w:rPr>
                <w:sz w:val="17"/>
                <w:szCs w:val="17"/>
              </w:rPr>
              <w:t>maintaining supervisory focus on financial and operational resilience of firms and markets to ensure they continue to support households and business through the economic disruption caused by COVID-19;</w:t>
            </w:r>
          </w:p>
          <w:p w14:paraId="12F184F0" w14:textId="77777777" w:rsidR="008F20D9" w:rsidRPr="002229FD" w:rsidRDefault="008F20D9" w:rsidP="008F20D9">
            <w:pPr>
              <w:pStyle w:val="ListParagraph"/>
              <w:numPr>
                <w:ilvl w:val="0"/>
                <w:numId w:val="31"/>
              </w:numPr>
              <w:jc w:val="left"/>
              <w:rPr>
                <w:sz w:val="17"/>
                <w:szCs w:val="17"/>
              </w:rPr>
            </w:pPr>
            <w:r w:rsidRPr="002229FD">
              <w:rPr>
                <w:sz w:val="17"/>
                <w:szCs w:val="17"/>
              </w:rPr>
              <w:t>focusing on strong governance and risk management capabilities in firms and markets to improve culture and decision-making and ensure that risks are identified and effectively mitigated,</w:t>
            </w:r>
          </w:p>
          <w:p w14:paraId="5685B644" w14:textId="77777777" w:rsidR="008F20D9" w:rsidRPr="002229FD" w:rsidRDefault="008F20D9" w:rsidP="008F20D9">
            <w:pPr>
              <w:pStyle w:val="ListParagraph"/>
              <w:numPr>
                <w:ilvl w:val="0"/>
                <w:numId w:val="31"/>
              </w:numPr>
              <w:jc w:val="left"/>
              <w:rPr>
                <w:sz w:val="17"/>
                <w:szCs w:val="17"/>
              </w:rPr>
            </w:pPr>
            <w:r w:rsidRPr="002229FD">
              <w:rPr>
                <w:sz w:val="17"/>
                <w:szCs w:val="17"/>
              </w:rPr>
              <w:t>seeking to ensure that detrimental consumer outcomes are identified, prevented or mitigated, such as business interruption insurance, where extensive supervisory engagement continues to ensure firms pay valid claims</w:t>
            </w:r>
          </w:p>
          <w:p w14:paraId="37C2D4CB" w14:textId="77777777" w:rsidR="008F20D9" w:rsidRPr="002229FD" w:rsidRDefault="008F20D9" w:rsidP="008F20D9">
            <w:pPr>
              <w:pStyle w:val="ListParagraph"/>
              <w:numPr>
                <w:ilvl w:val="0"/>
                <w:numId w:val="31"/>
              </w:numPr>
              <w:jc w:val="left"/>
              <w:rPr>
                <w:sz w:val="17"/>
                <w:szCs w:val="17"/>
              </w:rPr>
            </w:pPr>
            <w:proofErr w:type="gramStart"/>
            <w:r w:rsidRPr="002229FD">
              <w:rPr>
                <w:sz w:val="17"/>
                <w:szCs w:val="17"/>
              </w:rPr>
              <w:t>resolving</w:t>
            </w:r>
            <w:proofErr w:type="gramEnd"/>
            <w:r w:rsidRPr="002229FD">
              <w:rPr>
                <w:sz w:val="17"/>
                <w:szCs w:val="17"/>
              </w:rPr>
              <w:t xml:space="preserve"> both pandemic related and longer term distressed debt in the system.</w:t>
            </w:r>
          </w:p>
          <w:p w14:paraId="14011D32" w14:textId="3F862E54" w:rsidR="008F20D9" w:rsidRPr="002229FD" w:rsidRDefault="008F20D9" w:rsidP="008F20D9">
            <w:pPr>
              <w:jc w:val="left"/>
              <w:rPr>
                <w:sz w:val="17"/>
                <w:szCs w:val="17"/>
              </w:rPr>
            </w:pPr>
            <w:r w:rsidRPr="002229FD">
              <w:rPr>
                <w:sz w:val="17"/>
                <w:szCs w:val="17"/>
              </w:rPr>
              <w:t xml:space="preserve">Mr Sibley warned that the effects of the pandemic have highlighted the importance of good governance, appropriate cultures and effective risk management for regulated firms and that now is the time for firms to address risks and </w:t>
            </w:r>
            <w:r w:rsidR="00277171" w:rsidRPr="002229FD">
              <w:rPr>
                <w:sz w:val="17"/>
                <w:szCs w:val="17"/>
              </w:rPr>
              <w:t xml:space="preserve">prepare for future challenges. </w:t>
            </w:r>
          </w:p>
          <w:p w14:paraId="2A0963C0" w14:textId="3D4C6C23" w:rsidR="008F20D9" w:rsidRPr="002229FD" w:rsidRDefault="008F20D9" w:rsidP="008F20D9">
            <w:pPr>
              <w:jc w:val="left"/>
              <w:rPr>
                <w:sz w:val="17"/>
                <w:szCs w:val="17"/>
              </w:rPr>
            </w:pPr>
            <w:r w:rsidRPr="002229FD">
              <w:rPr>
                <w:sz w:val="17"/>
                <w:szCs w:val="17"/>
              </w:rPr>
              <w:t>In relation to climate change, Mr Sibley noted that “</w:t>
            </w:r>
            <w:r w:rsidRPr="002229FD">
              <w:rPr>
                <w:i/>
                <w:sz w:val="17"/>
                <w:szCs w:val="17"/>
              </w:rPr>
              <w:t>The financial system has a role to play in addressing climate change risk through moving away from financing governments, firms and projects that are environmentally damaging and moving into financing actions that support the transition to a more sustainable economic model</w:t>
            </w:r>
            <w:r w:rsidRPr="002229FD">
              <w:rPr>
                <w:sz w:val="17"/>
                <w:szCs w:val="17"/>
              </w:rPr>
              <w:t>.”</w:t>
            </w:r>
          </w:p>
          <w:p w14:paraId="7F937A92" w14:textId="33555CE1" w:rsidR="008F20D9" w:rsidRPr="002229FD" w:rsidRDefault="008F20D9" w:rsidP="008F20D9">
            <w:pPr>
              <w:jc w:val="left"/>
              <w:rPr>
                <w:sz w:val="17"/>
                <w:szCs w:val="17"/>
              </w:rPr>
            </w:pPr>
            <w:r w:rsidRPr="002229FD">
              <w:rPr>
                <w:sz w:val="17"/>
                <w:szCs w:val="17"/>
              </w:rPr>
              <w:t>Mr Sibley also discussed the advantages and disadvantages of innovation within the financial system</w:t>
            </w:r>
            <w:r w:rsidR="00277171" w:rsidRPr="002229FD">
              <w:rPr>
                <w:sz w:val="17"/>
                <w:szCs w:val="17"/>
              </w:rPr>
              <w:t xml:space="preserve"> but warned that accelerated use of technology must be balanced with effective IT risk management. </w:t>
            </w:r>
          </w:p>
        </w:tc>
      </w:tr>
      <w:tr w:rsidR="00AE0D12" w:rsidRPr="00166D67" w14:paraId="59EE46A5" w14:textId="77777777" w:rsidTr="000D5894">
        <w:trPr>
          <w:cantSplit/>
        </w:trPr>
        <w:tc>
          <w:tcPr>
            <w:tcW w:w="1097" w:type="dxa"/>
            <w:shd w:val="clear" w:color="auto" w:fill="auto"/>
          </w:tcPr>
          <w:p w14:paraId="5F0A51D2" w14:textId="23B99CDB" w:rsidR="00AE0D12" w:rsidRPr="002229FD" w:rsidRDefault="00AE0D12" w:rsidP="004C0BE0">
            <w:pPr>
              <w:jc w:val="left"/>
              <w:rPr>
                <w:b/>
                <w:sz w:val="17"/>
                <w:szCs w:val="17"/>
              </w:rPr>
            </w:pPr>
            <w:r w:rsidRPr="002229FD">
              <w:rPr>
                <w:b/>
                <w:sz w:val="17"/>
                <w:szCs w:val="17"/>
              </w:rPr>
              <w:t>18 February 2021</w:t>
            </w:r>
          </w:p>
        </w:tc>
        <w:tc>
          <w:tcPr>
            <w:tcW w:w="1880" w:type="dxa"/>
            <w:shd w:val="clear" w:color="auto" w:fill="auto"/>
          </w:tcPr>
          <w:p w14:paraId="29F1C6D9" w14:textId="320F58FF" w:rsidR="00AE0D12" w:rsidRPr="002229FD" w:rsidRDefault="00A324C3" w:rsidP="004C0BE0">
            <w:pPr>
              <w:jc w:val="left"/>
              <w:rPr>
                <w:sz w:val="17"/>
                <w:szCs w:val="17"/>
              </w:rPr>
            </w:pPr>
            <w:hyperlink r:id="rId106" w:history="1">
              <w:r w:rsidR="00AE0D12" w:rsidRPr="002229FD">
                <w:rPr>
                  <w:rStyle w:val="Hyperlink"/>
                  <w:sz w:val="17"/>
                  <w:szCs w:val="17"/>
                </w:rPr>
                <w:t>COVID-19 – Regulated Firms FAQ</w:t>
              </w:r>
            </w:hyperlink>
          </w:p>
        </w:tc>
        <w:tc>
          <w:tcPr>
            <w:tcW w:w="1819" w:type="dxa"/>
            <w:shd w:val="clear" w:color="auto" w:fill="auto"/>
          </w:tcPr>
          <w:p w14:paraId="3B663957" w14:textId="77777777" w:rsidR="00AE0D12" w:rsidRPr="002229FD" w:rsidRDefault="00AE0D12" w:rsidP="004C0BE0">
            <w:pPr>
              <w:jc w:val="left"/>
              <w:rPr>
                <w:color w:val="FF0000"/>
                <w:sz w:val="17"/>
                <w:szCs w:val="17"/>
              </w:rPr>
            </w:pPr>
          </w:p>
        </w:tc>
        <w:tc>
          <w:tcPr>
            <w:tcW w:w="2155" w:type="dxa"/>
            <w:shd w:val="clear" w:color="auto" w:fill="auto"/>
          </w:tcPr>
          <w:p w14:paraId="5BB29585" w14:textId="2BA09A02" w:rsidR="00AE0D12" w:rsidRPr="002229FD" w:rsidRDefault="00AE0D12" w:rsidP="004C0BE0">
            <w:pPr>
              <w:jc w:val="left"/>
              <w:rPr>
                <w:sz w:val="17"/>
                <w:szCs w:val="17"/>
              </w:rPr>
            </w:pPr>
            <w:r w:rsidRPr="002229FD">
              <w:rPr>
                <w:sz w:val="17"/>
                <w:szCs w:val="17"/>
              </w:rPr>
              <w:t>All Regulated Financial Services Providers</w:t>
            </w:r>
          </w:p>
        </w:tc>
        <w:tc>
          <w:tcPr>
            <w:tcW w:w="5523" w:type="dxa"/>
            <w:shd w:val="clear" w:color="auto" w:fill="auto"/>
          </w:tcPr>
          <w:p w14:paraId="6D1F0421" w14:textId="59C94F52" w:rsidR="00AE0D12" w:rsidRPr="002229FD" w:rsidRDefault="00AE0D12" w:rsidP="000C1404">
            <w:pPr>
              <w:jc w:val="left"/>
              <w:rPr>
                <w:sz w:val="17"/>
                <w:szCs w:val="17"/>
              </w:rPr>
            </w:pPr>
            <w:r w:rsidRPr="002229FD">
              <w:rPr>
                <w:sz w:val="17"/>
                <w:szCs w:val="17"/>
              </w:rPr>
              <w:t xml:space="preserve">The Central Bank of Ireland has updated its COVID-19 – Regulated Firms FAQ. The FAQs provide an overview of the measures being taken by the Central Bank in relation to the regulation of the financial services industry during the COVID-19 pandemic. The FAQs provide guidance as to the payment breaks available during COVID-19 and set out the Central Bank's expectation of lenders </w:t>
            </w:r>
            <w:r w:rsidR="000C1404" w:rsidRPr="002229FD">
              <w:rPr>
                <w:sz w:val="17"/>
                <w:szCs w:val="17"/>
              </w:rPr>
              <w:t xml:space="preserve">in relation to supporting borrowers who are experiencing financial difficulties as a result of the pandemic. Guidance as to the reporting requirements applicable to regulated firms is also provided in the FAQs. The FAQs also provide guidance as to the implications of COVID-19 for Anti-Money Laundering / Countering the Financing of Terrorism and the securities market. In addition, the FAQs clarify the Central Bank's expectation of firms in relation to dividends and remuneration during COVID-19. </w:t>
            </w:r>
          </w:p>
        </w:tc>
      </w:tr>
      <w:tr w:rsidR="00455237" w:rsidRPr="00AD12F5" w14:paraId="7978C1E4" w14:textId="77777777" w:rsidTr="000D5894">
        <w:trPr>
          <w:cantSplit/>
        </w:trPr>
        <w:tc>
          <w:tcPr>
            <w:tcW w:w="1097" w:type="dxa"/>
            <w:shd w:val="clear" w:color="auto" w:fill="auto"/>
          </w:tcPr>
          <w:p w14:paraId="5EB1FAE9" w14:textId="78723691" w:rsidR="00455237" w:rsidRPr="002229FD" w:rsidRDefault="00455237" w:rsidP="004C0BE0">
            <w:pPr>
              <w:jc w:val="left"/>
              <w:rPr>
                <w:b/>
                <w:sz w:val="17"/>
                <w:szCs w:val="17"/>
              </w:rPr>
            </w:pPr>
            <w:r w:rsidRPr="002229FD">
              <w:rPr>
                <w:b/>
                <w:sz w:val="17"/>
                <w:szCs w:val="17"/>
              </w:rPr>
              <w:t>23 February 2021</w:t>
            </w:r>
          </w:p>
        </w:tc>
        <w:tc>
          <w:tcPr>
            <w:tcW w:w="1880" w:type="dxa"/>
            <w:shd w:val="clear" w:color="auto" w:fill="auto"/>
          </w:tcPr>
          <w:p w14:paraId="6CF3ACCF" w14:textId="2E04BDA0" w:rsidR="00455237" w:rsidRPr="002229FD" w:rsidRDefault="00A324C3" w:rsidP="004C0BE0">
            <w:pPr>
              <w:jc w:val="left"/>
              <w:rPr>
                <w:sz w:val="17"/>
                <w:szCs w:val="17"/>
              </w:rPr>
            </w:pPr>
            <w:hyperlink r:id="rId107" w:history="1">
              <w:r w:rsidR="00455237" w:rsidRPr="002229FD">
                <w:rPr>
                  <w:rStyle w:val="Hyperlink"/>
                  <w:sz w:val="17"/>
                  <w:szCs w:val="17"/>
                </w:rPr>
                <w:t>Economic Letter: Government income supports significantly mitigated impact of COVID-19 on household incomes</w:t>
              </w:r>
            </w:hyperlink>
          </w:p>
        </w:tc>
        <w:tc>
          <w:tcPr>
            <w:tcW w:w="1819" w:type="dxa"/>
            <w:shd w:val="clear" w:color="auto" w:fill="auto"/>
          </w:tcPr>
          <w:p w14:paraId="5B397E2E" w14:textId="77777777" w:rsidR="00455237" w:rsidRPr="002229FD" w:rsidRDefault="00455237" w:rsidP="004C0BE0">
            <w:pPr>
              <w:jc w:val="left"/>
              <w:rPr>
                <w:color w:val="FF0000"/>
                <w:sz w:val="17"/>
                <w:szCs w:val="17"/>
              </w:rPr>
            </w:pPr>
          </w:p>
        </w:tc>
        <w:tc>
          <w:tcPr>
            <w:tcW w:w="2155" w:type="dxa"/>
            <w:shd w:val="clear" w:color="auto" w:fill="auto"/>
          </w:tcPr>
          <w:p w14:paraId="47AA83A7" w14:textId="6E621FB3" w:rsidR="00455237" w:rsidRPr="002229FD" w:rsidRDefault="00AD12F5" w:rsidP="004C0BE0">
            <w:pPr>
              <w:jc w:val="left"/>
              <w:rPr>
                <w:sz w:val="17"/>
                <w:szCs w:val="17"/>
              </w:rPr>
            </w:pPr>
            <w:r w:rsidRPr="002229FD">
              <w:rPr>
                <w:sz w:val="17"/>
                <w:szCs w:val="17"/>
              </w:rPr>
              <w:t>All Regulated Financial Services Providers</w:t>
            </w:r>
          </w:p>
        </w:tc>
        <w:tc>
          <w:tcPr>
            <w:tcW w:w="5523" w:type="dxa"/>
            <w:shd w:val="clear" w:color="auto" w:fill="auto"/>
          </w:tcPr>
          <w:p w14:paraId="73896872" w14:textId="7C797927" w:rsidR="00455237" w:rsidRPr="002229FD" w:rsidRDefault="00455237" w:rsidP="00455237">
            <w:pPr>
              <w:jc w:val="left"/>
              <w:rPr>
                <w:sz w:val="17"/>
                <w:szCs w:val="17"/>
              </w:rPr>
            </w:pPr>
            <w:r w:rsidRPr="002229FD">
              <w:rPr>
                <w:sz w:val="17"/>
                <w:szCs w:val="17"/>
              </w:rPr>
              <w:t xml:space="preserve">The Central Bank of Ireland has published an Economic Letter entitled ‘The Impact of COVID-19 on the Incomes and Debt Sustainability of Irish Households’. The letter, which was written by </w:t>
            </w:r>
            <w:proofErr w:type="spellStart"/>
            <w:r w:rsidRPr="002229FD">
              <w:rPr>
                <w:sz w:val="17"/>
                <w:szCs w:val="17"/>
              </w:rPr>
              <w:t>Reamonn</w:t>
            </w:r>
            <w:proofErr w:type="spellEnd"/>
            <w:r w:rsidRPr="002229FD">
              <w:rPr>
                <w:sz w:val="17"/>
                <w:szCs w:val="17"/>
              </w:rPr>
              <w:t xml:space="preserve"> </w:t>
            </w:r>
            <w:proofErr w:type="spellStart"/>
            <w:r w:rsidRPr="002229FD">
              <w:rPr>
                <w:sz w:val="17"/>
                <w:szCs w:val="17"/>
              </w:rPr>
              <w:t>Lydon</w:t>
            </w:r>
            <w:proofErr w:type="spellEnd"/>
            <w:r w:rsidRPr="002229FD">
              <w:rPr>
                <w:sz w:val="17"/>
                <w:szCs w:val="17"/>
              </w:rPr>
              <w:t xml:space="preserve"> of the Central Bank and Brian Cahill of the Central Statistics Office (CSO) discusses the findings of a joint Central Bank/CSO research project on the social and economic impact of COVID-19. The results of the research demonstrated that the COVID-19 supports introduced by the government significantly alleviated the impact of COVID-19 on household incomes and debt sustainability. While household income for the average Irish household fell by 1.7% in Q2 2020 compared to Q2 2019 in Q2 2020, incomes were 3% higher by Q3 2020 following the first easing of restrictions. The letter notes that although debt ratios have risen for the most indebted households, these ratios </w:t>
            </w:r>
            <w:r w:rsidR="00AD12F5" w:rsidRPr="002229FD">
              <w:rPr>
                <w:sz w:val="17"/>
                <w:szCs w:val="17"/>
              </w:rPr>
              <w:t xml:space="preserve">would have experienced a sharper increase in the absence of the COVID-19 income supports which have been introduced. </w:t>
            </w:r>
          </w:p>
        </w:tc>
      </w:tr>
      <w:tr w:rsidR="009933E4" w:rsidRPr="00AD12F5" w14:paraId="09AF3C93" w14:textId="77777777" w:rsidTr="000D5894">
        <w:trPr>
          <w:cantSplit/>
        </w:trPr>
        <w:tc>
          <w:tcPr>
            <w:tcW w:w="1097" w:type="dxa"/>
            <w:shd w:val="clear" w:color="auto" w:fill="auto"/>
          </w:tcPr>
          <w:p w14:paraId="66858837" w14:textId="3A38284A" w:rsidR="009933E4" w:rsidRPr="002229FD" w:rsidRDefault="009933E4" w:rsidP="004C0BE0">
            <w:pPr>
              <w:jc w:val="left"/>
              <w:rPr>
                <w:b/>
                <w:sz w:val="17"/>
                <w:szCs w:val="17"/>
              </w:rPr>
            </w:pPr>
            <w:r w:rsidRPr="002229FD">
              <w:rPr>
                <w:b/>
                <w:sz w:val="17"/>
                <w:szCs w:val="17"/>
              </w:rPr>
              <w:t>01 March 2021</w:t>
            </w:r>
          </w:p>
        </w:tc>
        <w:tc>
          <w:tcPr>
            <w:tcW w:w="1880" w:type="dxa"/>
            <w:shd w:val="clear" w:color="auto" w:fill="auto"/>
          </w:tcPr>
          <w:p w14:paraId="2BC79507" w14:textId="18E7E9BC" w:rsidR="009933E4" w:rsidRPr="002229FD" w:rsidRDefault="00A324C3" w:rsidP="004C0BE0">
            <w:pPr>
              <w:jc w:val="left"/>
              <w:rPr>
                <w:sz w:val="17"/>
                <w:szCs w:val="17"/>
              </w:rPr>
            </w:pPr>
            <w:hyperlink r:id="rId108" w:history="1">
              <w:r w:rsidR="009933E4" w:rsidRPr="002229FD">
                <w:rPr>
                  <w:rStyle w:val="Hyperlink"/>
                  <w:sz w:val="17"/>
                  <w:szCs w:val="17"/>
                </w:rPr>
                <w:t xml:space="preserve">Lessons from COVID: A </w:t>
              </w:r>
              <w:proofErr w:type="spellStart"/>
              <w:r w:rsidR="009933E4" w:rsidRPr="002229FD">
                <w:rPr>
                  <w:rStyle w:val="Hyperlink"/>
                  <w:sz w:val="17"/>
                  <w:szCs w:val="17"/>
                </w:rPr>
                <w:t>Macroprudential</w:t>
              </w:r>
              <w:proofErr w:type="spellEnd"/>
              <w:r w:rsidR="009933E4" w:rsidRPr="002229FD">
                <w:rPr>
                  <w:rStyle w:val="Hyperlink"/>
                  <w:sz w:val="17"/>
                  <w:szCs w:val="17"/>
                </w:rPr>
                <w:t xml:space="preserve"> Framework for the Market-Based Finance Sector</w:t>
              </w:r>
            </w:hyperlink>
          </w:p>
        </w:tc>
        <w:tc>
          <w:tcPr>
            <w:tcW w:w="1819" w:type="dxa"/>
            <w:shd w:val="clear" w:color="auto" w:fill="auto"/>
          </w:tcPr>
          <w:p w14:paraId="22ACE85D" w14:textId="77777777" w:rsidR="009933E4" w:rsidRPr="002229FD" w:rsidRDefault="009933E4" w:rsidP="004C0BE0">
            <w:pPr>
              <w:jc w:val="left"/>
              <w:rPr>
                <w:color w:val="FF0000"/>
                <w:sz w:val="17"/>
                <w:szCs w:val="17"/>
              </w:rPr>
            </w:pPr>
          </w:p>
        </w:tc>
        <w:tc>
          <w:tcPr>
            <w:tcW w:w="2155" w:type="dxa"/>
            <w:shd w:val="clear" w:color="auto" w:fill="auto"/>
          </w:tcPr>
          <w:p w14:paraId="5E5B01D0" w14:textId="08A206D4" w:rsidR="009933E4" w:rsidRPr="002229FD" w:rsidRDefault="009F4A13" w:rsidP="009F4A13">
            <w:pPr>
              <w:jc w:val="left"/>
              <w:rPr>
                <w:sz w:val="17"/>
                <w:szCs w:val="17"/>
              </w:rPr>
            </w:pPr>
            <w:r w:rsidRPr="002229FD">
              <w:rPr>
                <w:sz w:val="17"/>
                <w:szCs w:val="17"/>
              </w:rPr>
              <w:t>Regulated Financial Services Providers operating in market-based finance</w:t>
            </w:r>
          </w:p>
        </w:tc>
        <w:tc>
          <w:tcPr>
            <w:tcW w:w="5523" w:type="dxa"/>
            <w:shd w:val="clear" w:color="auto" w:fill="auto"/>
          </w:tcPr>
          <w:p w14:paraId="782A12C1" w14:textId="77777777" w:rsidR="009933E4" w:rsidRPr="002229FD" w:rsidRDefault="009933E4" w:rsidP="009933E4">
            <w:pPr>
              <w:jc w:val="left"/>
              <w:rPr>
                <w:sz w:val="17"/>
                <w:szCs w:val="17"/>
              </w:rPr>
            </w:pPr>
            <w:r w:rsidRPr="002229FD">
              <w:rPr>
                <w:sz w:val="17"/>
                <w:szCs w:val="17"/>
              </w:rPr>
              <w:t xml:space="preserve">Mr Gabriel </w:t>
            </w:r>
            <w:proofErr w:type="spellStart"/>
            <w:r w:rsidRPr="002229FD">
              <w:rPr>
                <w:sz w:val="17"/>
                <w:szCs w:val="17"/>
              </w:rPr>
              <w:t>Makhlouf</w:t>
            </w:r>
            <w:proofErr w:type="spellEnd"/>
            <w:r w:rsidRPr="002229FD">
              <w:rPr>
                <w:sz w:val="17"/>
                <w:szCs w:val="17"/>
              </w:rPr>
              <w:t xml:space="preserve">, Governor of the Central Bank of Ireland gave the opening remarks at the </w:t>
            </w:r>
            <w:proofErr w:type="spellStart"/>
            <w:r w:rsidRPr="002229FD">
              <w:rPr>
                <w:sz w:val="17"/>
                <w:szCs w:val="17"/>
              </w:rPr>
              <w:t>Banque</w:t>
            </w:r>
            <w:proofErr w:type="spellEnd"/>
            <w:r w:rsidRPr="002229FD">
              <w:rPr>
                <w:sz w:val="17"/>
                <w:szCs w:val="17"/>
              </w:rPr>
              <w:t xml:space="preserve"> de France Financial Stability Conference 2021 Roundtable on 1 March 2021. In his speech, Mr </w:t>
            </w:r>
            <w:proofErr w:type="spellStart"/>
            <w:r w:rsidRPr="002229FD">
              <w:rPr>
                <w:sz w:val="17"/>
                <w:szCs w:val="17"/>
              </w:rPr>
              <w:t>Makhlouf</w:t>
            </w:r>
            <w:proofErr w:type="spellEnd"/>
            <w:r w:rsidRPr="002229FD">
              <w:rPr>
                <w:sz w:val="17"/>
                <w:szCs w:val="17"/>
              </w:rPr>
              <w:t xml:space="preserve"> noted his support for the strong and effective resilience frameworks which have been implemented both national, EU and international level. Mr </w:t>
            </w:r>
            <w:proofErr w:type="spellStart"/>
            <w:r w:rsidRPr="002229FD">
              <w:rPr>
                <w:sz w:val="17"/>
                <w:szCs w:val="17"/>
              </w:rPr>
              <w:t>Makhlouf</w:t>
            </w:r>
            <w:proofErr w:type="spellEnd"/>
            <w:r w:rsidRPr="002229FD">
              <w:rPr>
                <w:sz w:val="17"/>
                <w:szCs w:val="17"/>
              </w:rPr>
              <w:t xml:space="preserve"> noted that although the pandemic is not yet over, the financial system has demonstrated resilience both financially and operationally in the face of an unprecedented economic crisis. Mr </w:t>
            </w:r>
            <w:proofErr w:type="spellStart"/>
            <w:r w:rsidRPr="002229FD">
              <w:rPr>
                <w:sz w:val="17"/>
                <w:szCs w:val="17"/>
              </w:rPr>
              <w:t>Makhlouf</w:t>
            </w:r>
            <w:proofErr w:type="spellEnd"/>
            <w:r w:rsidRPr="002229FD">
              <w:rPr>
                <w:sz w:val="17"/>
                <w:szCs w:val="17"/>
              </w:rPr>
              <w:t xml:space="preserve"> highlighted the importance of developing a </w:t>
            </w:r>
            <w:proofErr w:type="spellStart"/>
            <w:r w:rsidRPr="002229FD">
              <w:rPr>
                <w:sz w:val="17"/>
                <w:szCs w:val="17"/>
              </w:rPr>
              <w:t>macroprudential</w:t>
            </w:r>
            <w:proofErr w:type="spellEnd"/>
            <w:r w:rsidRPr="002229FD">
              <w:rPr>
                <w:sz w:val="17"/>
                <w:szCs w:val="17"/>
              </w:rPr>
              <w:t xml:space="preserve"> framework for market-based finance and noted that such a framework would be of benefit not just </w:t>
            </w:r>
            <w:proofErr w:type="gramStart"/>
            <w:r w:rsidRPr="002229FD">
              <w:rPr>
                <w:sz w:val="17"/>
                <w:szCs w:val="17"/>
              </w:rPr>
              <w:t>to</w:t>
            </w:r>
            <w:proofErr w:type="gramEnd"/>
            <w:r w:rsidRPr="002229FD">
              <w:rPr>
                <w:sz w:val="17"/>
                <w:szCs w:val="17"/>
              </w:rPr>
              <w:t xml:space="preserve"> market-based finance but to the financial system as a whole. Mr </w:t>
            </w:r>
            <w:proofErr w:type="spellStart"/>
            <w:r w:rsidRPr="002229FD">
              <w:rPr>
                <w:sz w:val="17"/>
                <w:szCs w:val="17"/>
              </w:rPr>
              <w:t>Makhlouf</w:t>
            </w:r>
            <w:proofErr w:type="spellEnd"/>
            <w:r w:rsidRPr="002229FD">
              <w:rPr>
                <w:sz w:val="17"/>
                <w:szCs w:val="17"/>
              </w:rPr>
              <w:t xml:space="preserve"> stated that the growth in market-based finance is a positive development which provides a helpful alternative to bank financing and has the potential to allow for risk-sharing across the financial sector. The resilience of capital markets is a key factor which must also be considered and policymakers must ensure that such resilience is commensurate to systemic risk. Mr </w:t>
            </w:r>
            <w:proofErr w:type="spellStart"/>
            <w:r w:rsidRPr="002229FD">
              <w:rPr>
                <w:sz w:val="17"/>
                <w:szCs w:val="17"/>
              </w:rPr>
              <w:t>Makhlouf</w:t>
            </w:r>
            <w:proofErr w:type="spellEnd"/>
            <w:r w:rsidRPr="002229FD">
              <w:rPr>
                <w:sz w:val="17"/>
                <w:szCs w:val="17"/>
              </w:rPr>
              <w:t xml:space="preserve"> noted that </w:t>
            </w:r>
            <w:r w:rsidR="009F4A13" w:rsidRPr="002229FD">
              <w:rPr>
                <w:sz w:val="17"/>
                <w:szCs w:val="17"/>
              </w:rPr>
              <w:t xml:space="preserve">there are several key questions which will require consideration when developing a </w:t>
            </w:r>
            <w:proofErr w:type="spellStart"/>
            <w:r w:rsidR="009F4A13" w:rsidRPr="002229FD">
              <w:rPr>
                <w:sz w:val="17"/>
                <w:szCs w:val="17"/>
              </w:rPr>
              <w:t>macroprudential</w:t>
            </w:r>
            <w:proofErr w:type="spellEnd"/>
            <w:r w:rsidR="009F4A13" w:rsidRPr="002229FD">
              <w:rPr>
                <w:sz w:val="17"/>
                <w:szCs w:val="17"/>
              </w:rPr>
              <w:t xml:space="preserve"> policy framework for market-based finance including; </w:t>
            </w:r>
          </w:p>
          <w:p w14:paraId="2D25D1A1" w14:textId="77777777" w:rsidR="009F4A13" w:rsidRPr="002229FD" w:rsidRDefault="009F4A13" w:rsidP="009F4A13">
            <w:pPr>
              <w:pStyle w:val="ListParagraph"/>
              <w:numPr>
                <w:ilvl w:val="0"/>
                <w:numId w:val="32"/>
              </w:numPr>
              <w:jc w:val="left"/>
              <w:rPr>
                <w:sz w:val="17"/>
                <w:szCs w:val="17"/>
              </w:rPr>
            </w:pPr>
            <w:r w:rsidRPr="002229FD">
              <w:rPr>
                <w:sz w:val="17"/>
                <w:szCs w:val="17"/>
              </w:rPr>
              <w:t>What is the appropriate toolkit to target excessive liquidity mismatches and excessive leverage in the market-based finance sector?</w:t>
            </w:r>
          </w:p>
          <w:p w14:paraId="1EE7E5E9" w14:textId="77777777" w:rsidR="009F4A13" w:rsidRPr="002229FD" w:rsidRDefault="009F4A13" w:rsidP="009F4A13">
            <w:pPr>
              <w:pStyle w:val="ListParagraph"/>
              <w:numPr>
                <w:ilvl w:val="0"/>
                <w:numId w:val="32"/>
              </w:numPr>
              <w:jc w:val="left"/>
              <w:rPr>
                <w:sz w:val="17"/>
                <w:szCs w:val="17"/>
              </w:rPr>
            </w:pPr>
            <w:r w:rsidRPr="002229FD">
              <w:rPr>
                <w:sz w:val="17"/>
                <w:szCs w:val="17"/>
              </w:rPr>
              <w:t>What is the appropriate balance between time-varying and structural interventions?</w:t>
            </w:r>
          </w:p>
          <w:p w14:paraId="416BCCA6" w14:textId="77777777" w:rsidR="009F4A13" w:rsidRPr="002229FD" w:rsidRDefault="009F4A13" w:rsidP="009F4A13">
            <w:pPr>
              <w:pStyle w:val="ListParagraph"/>
              <w:numPr>
                <w:ilvl w:val="0"/>
                <w:numId w:val="32"/>
              </w:numPr>
              <w:jc w:val="left"/>
              <w:rPr>
                <w:sz w:val="17"/>
                <w:szCs w:val="17"/>
              </w:rPr>
            </w:pPr>
            <w:r w:rsidRPr="002229FD">
              <w:rPr>
                <w:sz w:val="17"/>
                <w:szCs w:val="17"/>
              </w:rPr>
              <w:t>What is the most appropriate approach to international co-ordination in this area?</w:t>
            </w:r>
          </w:p>
          <w:p w14:paraId="07A1B0B5" w14:textId="77777777" w:rsidR="009F4A13" w:rsidRPr="002229FD" w:rsidRDefault="009F4A13" w:rsidP="009F4A13">
            <w:pPr>
              <w:pStyle w:val="ListParagraph"/>
              <w:numPr>
                <w:ilvl w:val="0"/>
                <w:numId w:val="32"/>
              </w:numPr>
              <w:jc w:val="left"/>
              <w:rPr>
                <w:sz w:val="17"/>
                <w:szCs w:val="17"/>
              </w:rPr>
            </w:pPr>
            <w:r w:rsidRPr="002229FD">
              <w:rPr>
                <w:sz w:val="17"/>
                <w:szCs w:val="17"/>
              </w:rPr>
              <w:t>How to consider the appropriate balance between costs and benefits of additional resilience in the market-based sector?</w:t>
            </w:r>
          </w:p>
          <w:p w14:paraId="64617415" w14:textId="4563E0E6" w:rsidR="009F4A13" w:rsidRPr="002229FD" w:rsidRDefault="009F4A13" w:rsidP="009F4A13">
            <w:pPr>
              <w:jc w:val="left"/>
              <w:rPr>
                <w:sz w:val="17"/>
                <w:szCs w:val="17"/>
              </w:rPr>
            </w:pPr>
            <w:r w:rsidRPr="002229FD">
              <w:rPr>
                <w:sz w:val="17"/>
                <w:szCs w:val="17"/>
              </w:rPr>
              <w:t xml:space="preserve">Mr </w:t>
            </w:r>
            <w:proofErr w:type="spellStart"/>
            <w:r w:rsidRPr="002229FD">
              <w:rPr>
                <w:sz w:val="17"/>
                <w:szCs w:val="17"/>
              </w:rPr>
              <w:t>Makhlouf</w:t>
            </w:r>
            <w:proofErr w:type="spellEnd"/>
            <w:r w:rsidRPr="002229FD">
              <w:rPr>
                <w:sz w:val="17"/>
                <w:szCs w:val="17"/>
              </w:rPr>
              <w:t xml:space="preserve"> noted that the challenges which will arise in addressing the gaps in the current framework for market-based finance are similar to those which were encountered when developing tools for the banking sector. Mr </w:t>
            </w:r>
            <w:proofErr w:type="spellStart"/>
            <w:r w:rsidRPr="002229FD">
              <w:rPr>
                <w:sz w:val="17"/>
                <w:szCs w:val="17"/>
              </w:rPr>
              <w:t>Makhlouf</w:t>
            </w:r>
            <w:proofErr w:type="spellEnd"/>
            <w:r w:rsidRPr="002229FD">
              <w:rPr>
                <w:sz w:val="17"/>
                <w:szCs w:val="17"/>
              </w:rPr>
              <w:t xml:space="preserve"> concluded his speech by emphasising the Central Bank's commitment to collaborating with its EU colleagues in order to develop a comprehensive </w:t>
            </w:r>
            <w:proofErr w:type="spellStart"/>
            <w:r w:rsidRPr="002229FD">
              <w:rPr>
                <w:sz w:val="17"/>
                <w:szCs w:val="17"/>
              </w:rPr>
              <w:t>macroprudential</w:t>
            </w:r>
            <w:proofErr w:type="spellEnd"/>
            <w:r w:rsidRPr="002229FD">
              <w:rPr>
                <w:sz w:val="17"/>
                <w:szCs w:val="17"/>
              </w:rPr>
              <w:t xml:space="preserve"> framework to safeguard financial stability, one which it is hoped will benefit all citizens. </w:t>
            </w:r>
          </w:p>
        </w:tc>
      </w:tr>
      <w:tr w:rsidR="003A5CB0" w:rsidRPr="00AD12F5" w14:paraId="7DF088BA" w14:textId="77777777" w:rsidTr="000D5894">
        <w:trPr>
          <w:cantSplit/>
        </w:trPr>
        <w:tc>
          <w:tcPr>
            <w:tcW w:w="1097" w:type="dxa"/>
            <w:shd w:val="clear" w:color="auto" w:fill="auto"/>
          </w:tcPr>
          <w:p w14:paraId="13061C87" w14:textId="7EE93D41" w:rsidR="003A5CB0" w:rsidRPr="00E738AC" w:rsidRDefault="003A5CB0" w:rsidP="004C0BE0">
            <w:pPr>
              <w:jc w:val="left"/>
              <w:rPr>
                <w:b/>
                <w:sz w:val="17"/>
                <w:szCs w:val="17"/>
              </w:rPr>
            </w:pPr>
            <w:r w:rsidRPr="00E738AC">
              <w:rPr>
                <w:b/>
                <w:sz w:val="17"/>
                <w:szCs w:val="17"/>
              </w:rPr>
              <w:t>22 March 2021</w:t>
            </w:r>
          </w:p>
        </w:tc>
        <w:tc>
          <w:tcPr>
            <w:tcW w:w="1880" w:type="dxa"/>
            <w:shd w:val="clear" w:color="auto" w:fill="auto"/>
          </w:tcPr>
          <w:p w14:paraId="6C811E43" w14:textId="63E52376" w:rsidR="003A5CB0" w:rsidRPr="00E738AC" w:rsidRDefault="00A324C3" w:rsidP="004C0BE0">
            <w:pPr>
              <w:jc w:val="left"/>
              <w:rPr>
                <w:sz w:val="17"/>
                <w:szCs w:val="17"/>
              </w:rPr>
            </w:pPr>
            <w:hyperlink r:id="rId109" w:history="1">
              <w:r w:rsidR="003A5CB0" w:rsidRPr="00E738AC">
                <w:rPr>
                  <w:rStyle w:val="Hyperlink"/>
                  <w:sz w:val="17"/>
                  <w:szCs w:val="17"/>
                </w:rPr>
                <w:t>Economic Letter: COVID-19 and the Public Finances in Ireland</w:t>
              </w:r>
            </w:hyperlink>
          </w:p>
        </w:tc>
        <w:tc>
          <w:tcPr>
            <w:tcW w:w="1819" w:type="dxa"/>
            <w:shd w:val="clear" w:color="auto" w:fill="auto"/>
          </w:tcPr>
          <w:p w14:paraId="3072EB86" w14:textId="77777777" w:rsidR="003A5CB0" w:rsidRPr="00E738AC" w:rsidRDefault="003A5CB0" w:rsidP="004C0BE0">
            <w:pPr>
              <w:jc w:val="left"/>
              <w:rPr>
                <w:color w:val="FF0000"/>
                <w:sz w:val="17"/>
                <w:szCs w:val="17"/>
              </w:rPr>
            </w:pPr>
          </w:p>
        </w:tc>
        <w:tc>
          <w:tcPr>
            <w:tcW w:w="2155" w:type="dxa"/>
            <w:shd w:val="clear" w:color="auto" w:fill="auto"/>
          </w:tcPr>
          <w:p w14:paraId="43C23ED5" w14:textId="603A1077" w:rsidR="003A5CB0" w:rsidRPr="00E738AC" w:rsidRDefault="006C4F76" w:rsidP="009F4A13">
            <w:pPr>
              <w:jc w:val="left"/>
              <w:rPr>
                <w:sz w:val="17"/>
                <w:szCs w:val="17"/>
              </w:rPr>
            </w:pPr>
            <w:r w:rsidRPr="00E738AC">
              <w:rPr>
                <w:sz w:val="17"/>
                <w:szCs w:val="17"/>
              </w:rPr>
              <w:t>All Regulated Financial Services Providers</w:t>
            </w:r>
          </w:p>
        </w:tc>
        <w:tc>
          <w:tcPr>
            <w:tcW w:w="5523" w:type="dxa"/>
            <w:shd w:val="clear" w:color="auto" w:fill="auto"/>
          </w:tcPr>
          <w:p w14:paraId="0DF15257" w14:textId="0A6EA4B3" w:rsidR="003A5CB0" w:rsidRPr="00E738AC" w:rsidRDefault="003A5CB0" w:rsidP="00E738AC">
            <w:pPr>
              <w:jc w:val="left"/>
              <w:rPr>
                <w:sz w:val="17"/>
                <w:szCs w:val="17"/>
              </w:rPr>
            </w:pPr>
            <w:r w:rsidRPr="00E738AC">
              <w:rPr>
                <w:sz w:val="17"/>
                <w:szCs w:val="17"/>
              </w:rPr>
              <w:t xml:space="preserve">A new Economic Letter “COVID-19 and the Public Finances in Ireland” has been published by the Central Bank. The letter is based on the findings of research </w:t>
            </w:r>
            <w:r w:rsidR="006C4F76" w:rsidRPr="00E738AC">
              <w:rPr>
                <w:sz w:val="17"/>
                <w:szCs w:val="17"/>
              </w:rPr>
              <w:t xml:space="preserve">which was carried out by Thomas </w:t>
            </w:r>
            <w:proofErr w:type="spellStart"/>
            <w:r w:rsidR="006C4F76" w:rsidRPr="00E738AC">
              <w:rPr>
                <w:sz w:val="17"/>
                <w:szCs w:val="17"/>
              </w:rPr>
              <w:t>Conefrey</w:t>
            </w:r>
            <w:proofErr w:type="spellEnd"/>
            <w:r w:rsidR="006C4F76" w:rsidRPr="00E738AC">
              <w:rPr>
                <w:sz w:val="17"/>
                <w:szCs w:val="17"/>
              </w:rPr>
              <w:t xml:space="preserve">, </w:t>
            </w:r>
            <w:proofErr w:type="spellStart"/>
            <w:r w:rsidR="006C4F76" w:rsidRPr="00E738AC">
              <w:rPr>
                <w:sz w:val="17"/>
                <w:szCs w:val="17"/>
              </w:rPr>
              <w:t>Rónán</w:t>
            </w:r>
            <w:proofErr w:type="spellEnd"/>
            <w:r w:rsidR="006C4F76" w:rsidRPr="00E738AC">
              <w:rPr>
                <w:sz w:val="17"/>
                <w:szCs w:val="17"/>
              </w:rPr>
              <w:t xml:space="preserve"> Hickey and Niall </w:t>
            </w:r>
            <w:proofErr w:type="spellStart"/>
            <w:r w:rsidR="006C4F76" w:rsidRPr="00E738AC">
              <w:rPr>
                <w:sz w:val="17"/>
                <w:szCs w:val="17"/>
              </w:rPr>
              <w:t>McInerney</w:t>
            </w:r>
            <w:proofErr w:type="spellEnd"/>
            <w:r w:rsidR="006C4F76" w:rsidRPr="00E738AC">
              <w:rPr>
                <w:sz w:val="17"/>
                <w:szCs w:val="17"/>
              </w:rPr>
              <w:t xml:space="preserve"> </w:t>
            </w:r>
            <w:r w:rsidRPr="00E738AC">
              <w:rPr>
                <w:sz w:val="17"/>
                <w:szCs w:val="17"/>
              </w:rPr>
              <w:t xml:space="preserve">in relation to the impact of COVID-19 on public finances and the policy responses to the pandemic from the Irish government and the ECB. The letter notes that Ireland's fiscal support package was large by euro-area standards and that the increase in primary (non-interest) government spending in Ireland </w:t>
            </w:r>
            <w:r w:rsidR="00527905" w:rsidRPr="00E738AC">
              <w:rPr>
                <w:sz w:val="17"/>
                <w:szCs w:val="17"/>
              </w:rPr>
              <w:t xml:space="preserve">was </w:t>
            </w:r>
            <w:r w:rsidRPr="00E738AC">
              <w:rPr>
                <w:sz w:val="17"/>
                <w:szCs w:val="17"/>
              </w:rPr>
              <w:t xml:space="preserve">the second highest in the euro area in the first three quarters of </w:t>
            </w:r>
            <w:r w:rsidR="00527905" w:rsidRPr="00E738AC">
              <w:rPr>
                <w:sz w:val="17"/>
                <w:szCs w:val="17"/>
              </w:rPr>
              <w:t>2020</w:t>
            </w:r>
            <w:r w:rsidRPr="00E738AC">
              <w:rPr>
                <w:sz w:val="17"/>
                <w:szCs w:val="17"/>
              </w:rPr>
              <w:t>. The letter notes that these fiscal measures have helped to mitigate the pandemic's impact on households, businesses and the wider economy. In relation to ECB monetary policy, the letter states that the aims of the ECB's policy supports are to preserve favourable financing conditions and to bring medium-term in</w:t>
            </w:r>
            <w:r w:rsidR="00E738AC">
              <w:rPr>
                <w:sz w:val="17"/>
                <w:szCs w:val="17"/>
              </w:rPr>
              <w:t>flation back to approximately 2%</w:t>
            </w:r>
            <w:r w:rsidRPr="00E738AC">
              <w:rPr>
                <w:sz w:val="17"/>
                <w:szCs w:val="17"/>
              </w:rPr>
              <w:t xml:space="preserve">. </w:t>
            </w:r>
            <w:r w:rsidR="006C4F76" w:rsidRPr="00E738AC">
              <w:rPr>
                <w:sz w:val="17"/>
                <w:szCs w:val="17"/>
              </w:rPr>
              <w:t>It is expected that these measures will increase the level of output in the euro area and Ireland by 1.</w:t>
            </w:r>
            <w:r w:rsidR="00E738AC">
              <w:rPr>
                <w:sz w:val="17"/>
                <w:szCs w:val="17"/>
              </w:rPr>
              <w:t>4%</w:t>
            </w:r>
            <w:r w:rsidR="006C4F76" w:rsidRPr="00E738AC">
              <w:rPr>
                <w:sz w:val="17"/>
                <w:szCs w:val="17"/>
              </w:rPr>
              <w:t xml:space="preserve"> in 2021. The letter notes that in order to stabilise the economy, it will be necessary to maintain policy support over the short-term, however these measures should be targeted and temporary and current expenditure should be re-evaluated as health risks diminish in order to ensure fiscal sustainability. </w:t>
            </w:r>
          </w:p>
        </w:tc>
      </w:tr>
      <w:tr w:rsidR="00A914C9" w:rsidRPr="00AD12F5" w14:paraId="17C6EFB0" w14:textId="77777777" w:rsidTr="000D5894">
        <w:trPr>
          <w:cantSplit/>
        </w:trPr>
        <w:tc>
          <w:tcPr>
            <w:tcW w:w="1097" w:type="dxa"/>
            <w:shd w:val="clear" w:color="auto" w:fill="auto"/>
          </w:tcPr>
          <w:p w14:paraId="3DAE7469" w14:textId="257233D3" w:rsidR="00A914C9" w:rsidRPr="00E738AC" w:rsidRDefault="00A914C9" w:rsidP="004C0BE0">
            <w:pPr>
              <w:jc w:val="left"/>
              <w:rPr>
                <w:b/>
                <w:sz w:val="17"/>
                <w:szCs w:val="17"/>
              </w:rPr>
            </w:pPr>
            <w:r w:rsidRPr="00E738AC">
              <w:rPr>
                <w:b/>
                <w:sz w:val="17"/>
                <w:szCs w:val="17"/>
              </w:rPr>
              <w:t>30 March 2021</w:t>
            </w:r>
          </w:p>
        </w:tc>
        <w:tc>
          <w:tcPr>
            <w:tcW w:w="1880" w:type="dxa"/>
            <w:shd w:val="clear" w:color="auto" w:fill="auto"/>
          </w:tcPr>
          <w:p w14:paraId="68B4B842" w14:textId="6171B4C0" w:rsidR="00A914C9" w:rsidRPr="00E738AC" w:rsidRDefault="00A324C3" w:rsidP="004C0BE0">
            <w:pPr>
              <w:jc w:val="left"/>
              <w:rPr>
                <w:sz w:val="17"/>
                <w:szCs w:val="17"/>
              </w:rPr>
            </w:pPr>
            <w:hyperlink r:id="rId110" w:history="1">
              <w:r w:rsidR="00A914C9" w:rsidRPr="00E738AC">
                <w:rPr>
                  <w:rStyle w:val="Hyperlink"/>
                  <w:sz w:val="17"/>
                  <w:szCs w:val="17"/>
                </w:rPr>
                <w:t xml:space="preserve">“We must look beyond the aggregate numbers to understand the full effects of the pandemic” - Deputy Governor, Sharon </w:t>
              </w:r>
              <w:proofErr w:type="spellStart"/>
              <w:r w:rsidR="00A914C9" w:rsidRPr="00E738AC">
                <w:rPr>
                  <w:rStyle w:val="Hyperlink"/>
                  <w:sz w:val="17"/>
                  <w:szCs w:val="17"/>
                </w:rPr>
                <w:t>Donnery</w:t>
              </w:r>
              <w:proofErr w:type="spellEnd"/>
            </w:hyperlink>
          </w:p>
        </w:tc>
        <w:tc>
          <w:tcPr>
            <w:tcW w:w="1819" w:type="dxa"/>
            <w:shd w:val="clear" w:color="auto" w:fill="auto"/>
          </w:tcPr>
          <w:p w14:paraId="780DAD31" w14:textId="77777777" w:rsidR="00A914C9" w:rsidRPr="00E738AC" w:rsidRDefault="00A914C9" w:rsidP="004C0BE0">
            <w:pPr>
              <w:jc w:val="left"/>
              <w:rPr>
                <w:color w:val="FF0000"/>
                <w:sz w:val="17"/>
                <w:szCs w:val="17"/>
              </w:rPr>
            </w:pPr>
          </w:p>
        </w:tc>
        <w:tc>
          <w:tcPr>
            <w:tcW w:w="2155" w:type="dxa"/>
            <w:shd w:val="clear" w:color="auto" w:fill="auto"/>
          </w:tcPr>
          <w:p w14:paraId="3FBA1C40" w14:textId="4470067B" w:rsidR="00A914C9" w:rsidRPr="00E738AC" w:rsidRDefault="0079348C" w:rsidP="009F4A13">
            <w:pPr>
              <w:jc w:val="left"/>
              <w:rPr>
                <w:sz w:val="17"/>
                <w:szCs w:val="17"/>
              </w:rPr>
            </w:pPr>
            <w:r w:rsidRPr="00E738AC">
              <w:rPr>
                <w:sz w:val="17"/>
                <w:szCs w:val="17"/>
              </w:rPr>
              <w:t>All Regulated Financial Services Providers and Consumers</w:t>
            </w:r>
          </w:p>
        </w:tc>
        <w:tc>
          <w:tcPr>
            <w:tcW w:w="5523" w:type="dxa"/>
            <w:shd w:val="clear" w:color="auto" w:fill="auto"/>
          </w:tcPr>
          <w:p w14:paraId="055CEE59" w14:textId="335E729A" w:rsidR="00A914C9" w:rsidRPr="00E738AC" w:rsidRDefault="009B4143" w:rsidP="00DF7FC5">
            <w:pPr>
              <w:jc w:val="left"/>
              <w:rPr>
                <w:sz w:val="17"/>
                <w:szCs w:val="17"/>
              </w:rPr>
            </w:pPr>
            <w:r w:rsidRPr="00E738AC">
              <w:rPr>
                <w:sz w:val="17"/>
                <w:szCs w:val="17"/>
              </w:rPr>
              <w:t xml:space="preserve">Sharon </w:t>
            </w:r>
            <w:proofErr w:type="spellStart"/>
            <w:r w:rsidRPr="00E738AC">
              <w:rPr>
                <w:sz w:val="17"/>
                <w:szCs w:val="17"/>
              </w:rPr>
              <w:t>Donnery</w:t>
            </w:r>
            <w:proofErr w:type="spellEnd"/>
            <w:r w:rsidRPr="00E738AC">
              <w:rPr>
                <w:sz w:val="17"/>
                <w:szCs w:val="17"/>
              </w:rPr>
              <w:t xml:space="preserve">, Deputy Governor of the Central Bank of Ireland spoke with students and faculty members at the Whitaker Institute, NUI Galway </w:t>
            </w:r>
            <w:r w:rsidR="00F62CC3" w:rsidRPr="00E738AC">
              <w:rPr>
                <w:sz w:val="17"/>
                <w:szCs w:val="17"/>
              </w:rPr>
              <w:t xml:space="preserve">on 30 March 2021 </w:t>
            </w:r>
            <w:r w:rsidRPr="00E738AC">
              <w:rPr>
                <w:sz w:val="17"/>
                <w:szCs w:val="17"/>
              </w:rPr>
              <w:t xml:space="preserve">about the effects of COVID-19 on employment, incomes and savings, and the importance of looking beyond the aggregate numbers to understand the full effects of the pandemic. Ms </w:t>
            </w:r>
            <w:proofErr w:type="spellStart"/>
            <w:r w:rsidRPr="00E738AC">
              <w:rPr>
                <w:sz w:val="17"/>
                <w:szCs w:val="17"/>
              </w:rPr>
              <w:t>Donnery</w:t>
            </w:r>
            <w:proofErr w:type="spellEnd"/>
            <w:r w:rsidRPr="00E738AC">
              <w:rPr>
                <w:sz w:val="17"/>
                <w:szCs w:val="17"/>
              </w:rPr>
              <w:t xml:space="preserve"> noted the uneven labour market impacts from the pandemic, where the young, female and those with lower education levels have been particularly affected.</w:t>
            </w:r>
            <w:r w:rsidR="00F62CC3" w:rsidRPr="00E738AC">
              <w:rPr>
                <w:rFonts w:ascii="Lato" w:eastAsiaTheme="minorHAnsi" w:hAnsi="Lato"/>
                <w:color w:val="363636"/>
                <w:sz w:val="21"/>
                <w:szCs w:val="21"/>
              </w:rPr>
              <w:t xml:space="preserve"> </w:t>
            </w:r>
            <w:r w:rsidRPr="00E738AC">
              <w:rPr>
                <w:sz w:val="17"/>
                <w:szCs w:val="17"/>
              </w:rPr>
              <w:t xml:space="preserve">Referring to the role of State supports on incomes, the Deputy Governor noted that while the effects on </w:t>
            </w:r>
            <w:r w:rsidR="00F62CC3" w:rsidRPr="00E738AC">
              <w:rPr>
                <w:sz w:val="17"/>
                <w:szCs w:val="17"/>
              </w:rPr>
              <w:t>employment have been uneven, State</w:t>
            </w:r>
            <w:r w:rsidRPr="00E738AC">
              <w:rPr>
                <w:sz w:val="17"/>
                <w:szCs w:val="17"/>
              </w:rPr>
              <w:t xml:space="preserve"> supports have meant that the effect on incomes has been considerably moderated. Ms </w:t>
            </w:r>
            <w:proofErr w:type="spellStart"/>
            <w:r w:rsidRPr="00E738AC">
              <w:rPr>
                <w:sz w:val="17"/>
                <w:szCs w:val="17"/>
              </w:rPr>
              <w:t>Donnery</w:t>
            </w:r>
            <w:proofErr w:type="spellEnd"/>
            <w:r w:rsidRPr="00E738AC">
              <w:rPr>
                <w:sz w:val="17"/>
                <w:szCs w:val="17"/>
              </w:rPr>
              <w:t xml:space="preserve"> also p</w:t>
            </w:r>
            <w:r w:rsidR="00F62CC3" w:rsidRPr="00E738AC">
              <w:rPr>
                <w:sz w:val="17"/>
                <w:szCs w:val="17"/>
              </w:rPr>
              <w:t>resented</w:t>
            </w:r>
            <w:r w:rsidRPr="00E738AC">
              <w:rPr>
                <w:sz w:val="17"/>
                <w:szCs w:val="17"/>
              </w:rPr>
              <w:t xml:space="preserve"> an analysis of pandemic savings which drew on an Economic Letter published on 30 March 2021 entitled ‘</w:t>
            </w:r>
            <w:hyperlink r:id="rId111" w:tgtFrame="_blank" w:tooltip="Economic Letter" w:history="1">
              <w:r w:rsidRPr="00E738AC">
                <w:rPr>
                  <w:rStyle w:val="Hyperlink"/>
                  <w:sz w:val="17"/>
                  <w:szCs w:val="17"/>
                </w:rPr>
                <w:t>Saving during the pandemic: waiting out the storm?</w:t>
              </w:r>
            </w:hyperlink>
            <w:r w:rsidRPr="00E738AC">
              <w:rPr>
                <w:sz w:val="17"/>
                <w:szCs w:val="17"/>
              </w:rPr>
              <w:t xml:space="preserve">’ by </w:t>
            </w:r>
            <w:proofErr w:type="spellStart"/>
            <w:r w:rsidRPr="00E738AC">
              <w:rPr>
                <w:sz w:val="17"/>
                <w:szCs w:val="17"/>
              </w:rPr>
              <w:t>Reamonn</w:t>
            </w:r>
            <w:proofErr w:type="spellEnd"/>
            <w:r w:rsidRPr="00E738AC">
              <w:rPr>
                <w:sz w:val="17"/>
                <w:szCs w:val="17"/>
              </w:rPr>
              <w:t xml:space="preserve"> </w:t>
            </w:r>
            <w:proofErr w:type="spellStart"/>
            <w:r w:rsidRPr="00E738AC">
              <w:rPr>
                <w:sz w:val="17"/>
                <w:szCs w:val="17"/>
              </w:rPr>
              <w:t>Lydon</w:t>
            </w:r>
            <w:proofErr w:type="spellEnd"/>
            <w:r w:rsidRPr="00E738AC">
              <w:rPr>
                <w:sz w:val="17"/>
                <w:szCs w:val="17"/>
              </w:rPr>
              <w:t xml:space="preserve"> and Tara </w:t>
            </w:r>
            <w:proofErr w:type="spellStart"/>
            <w:r w:rsidRPr="00E738AC">
              <w:rPr>
                <w:sz w:val="17"/>
                <w:szCs w:val="17"/>
              </w:rPr>
              <w:t>McIndoe</w:t>
            </w:r>
            <w:proofErr w:type="spellEnd"/>
            <w:r w:rsidRPr="00E738AC">
              <w:rPr>
                <w:sz w:val="17"/>
                <w:szCs w:val="17"/>
              </w:rPr>
              <w:t>-Calder of the Central Bank. The Economic Letter hypothesises if half of the excess pandemic savings accumulated to date are spent, it could add up to 5 per cent (or €5 billion) to consumer spending over time, providing a stimulus to the economy.</w:t>
            </w:r>
            <w:r w:rsidR="00F62CC3" w:rsidRPr="00E738AC">
              <w:rPr>
                <w:sz w:val="17"/>
                <w:szCs w:val="17"/>
              </w:rPr>
              <w:t xml:space="preserve"> </w:t>
            </w:r>
            <w:r w:rsidR="00F62CC3" w:rsidRPr="0067185B">
              <w:rPr>
                <w:sz w:val="17"/>
                <w:szCs w:val="17"/>
              </w:rPr>
              <w:t xml:space="preserve">Ms </w:t>
            </w:r>
            <w:proofErr w:type="spellStart"/>
            <w:r w:rsidR="00F62CC3" w:rsidRPr="0067185B">
              <w:rPr>
                <w:sz w:val="17"/>
                <w:szCs w:val="17"/>
              </w:rPr>
              <w:t>Donnery</w:t>
            </w:r>
            <w:proofErr w:type="spellEnd"/>
            <w:r w:rsidR="00F62CC3" w:rsidRPr="0067185B">
              <w:rPr>
                <w:sz w:val="17"/>
                <w:szCs w:val="17"/>
              </w:rPr>
              <w:t xml:space="preserve"> </w:t>
            </w:r>
            <w:r w:rsidRPr="0067185B">
              <w:rPr>
                <w:sz w:val="17"/>
                <w:szCs w:val="17"/>
              </w:rPr>
              <w:t xml:space="preserve">concluded by noting </w:t>
            </w:r>
            <w:r w:rsidR="00F62CC3" w:rsidRPr="0067185B">
              <w:rPr>
                <w:sz w:val="17"/>
                <w:szCs w:val="17"/>
              </w:rPr>
              <w:t>that p</w:t>
            </w:r>
            <w:r w:rsidRPr="0067185B">
              <w:rPr>
                <w:sz w:val="17"/>
                <w:szCs w:val="17"/>
              </w:rPr>
              <w:t xml:space="preserve">olicy support will need to be maintained over the short-term in order to stabilise the economy, and </w:t>
            </w:r>
            <w:r w:rsidR="00F62CC3" w:rsidRPr="0067185B">
              <w:rPr>
                <w:sz w:val="17"/>
                <w:szCs w:val="17"/>
              </w:rPr>
              <w:t xml:space="preserve">that </w:t>
            </w:r>
            <w:r w:rsidRPr="0067185B">
              <w:rPr>
                <w:sz w:val="17"/>
                <w:szCs w:val="17"/>
              </w:rPr>
              <w:t>as the economy re-opens any ongoing current expenditure suppo</w:t>
            </w:r>
            <w:r w:rsidR="00F62CC3" w:rsidRPr="0067185B">
              <w:rPr>
                <w:sz w:val="17"/>
                <w:szCs w:val="17"/>
              </w:rPr>
              <w:t>rt should be</w:t>
            </w:r>
            <w:r w:rsidR="00FA027C" w:rsidRPr="0067185B">
              <w:rPr>
                <w:sz w:val="17"/>
                <w:szCs w:val="17"/>
              </w:rPr>
              <w:t xml:space="preserve"> temporary and</w:t>
            </w:r>
            <w:r w:rsidR="00F62CC3" w:rsidRPr="0067185B">
              <w:rPr>
                <w:sz w:val="17"/>
                <w:szCs w:val="17"/>
              </w:rPr>
              <w:t xml:space="preserve"> targeted, </w:t>
            </w:r>
            <w:r w:rsidR="00DF7FC5" w:rsidRPr="0067185B">
              <w:rPr>
                <w:sz w:val="17"/>
                <w:szCs w:val="17"/>
              </w:rPr>
              <w:t>particularly</w:t>
            </w:r>
            <w:r w:rsidRPr="0067185B">
              <w:rPr>
                <w:sz w:val="17"/>
                <w:szCs w:val="17"/>
              </w:rPr>
              <w:t xml:space="preserve"> at getting people back to work</w:t>
            </w:r>
            <w:r w:rsidR="00FA027C" w:rsidRPr="0067185B">
              <w:rPr>
                <w:sz w:val="17"/>
                <w:szCs w:val="17"/>
              </w:rPr>
              <w:t>.</w:t>
            </w:r>
          </w:p>
          <w:p w14:paraId="61DA8902" w14:textId="172F1C4A" w:rsidR="008406E0" w:rsidRPr="00E738AC" w:rsidRDefault="008406E0" w:rsidP="00DF7FC5">
            <w:pPr>
              <w:jc w:val="left"/>
              <w:rPr>
                <w:sz w:val="17"/>
                <w:szCs w:val="17"/>
              </w:rPr>
            </w:pPr>
          </w:p>
        </w:tc>
      </w:tr>
      <w:tr w:rsidR="00410EA8" w:rsidRPr="00AD12F5" w14:paraId="3B0588DD" w14:textId="77777777" w:rsidTr="000D5894">
        <w:trPr>
          <w:cantSplit/>
        </w:trPr>
        <w:tc>
          <w:tcPr>
            <w:tcW w:w="1097" w:type="dxa"/>
            <w:shd w:val="clear" w:color="auto" w:fill="auto"/>
          </w:tcPr>
          <w:p w14:paraId="05E9074E" w14:textId="6B7E30CB" w:rsidR="00410EA8" w:rsidRPr="009759C9" w:rsidRDefault="00410EA8" w:rsidP="004C0BE0">
            <w:pPr>
              <w:jc w:val="left"/>
              <w:rPr>
                <w:b/>
                <w:sz w:val="17"/>
                <w:szCs w:val="17"/>
              </w:rPr>
            </w:pPr>
            <w:r w:rsidRPr="009759C9">
              <w:rPr>
                <w:b/>
                <w:sz w:val="17"/>
                <w:szCs w:val="17"/>
              </w:rPr>
              <w:t xml:space="preserve">19 May 2021 </w:t>
            </w:r>
          </w:p>
        </w:tc>
        <w:tc>
          <w:tcPr>
            <w:tcW w:w="1880" w:type="dxa"/>
            <w:shd w:val="clear" w:color="auto" w:fill="auto"/>
          </w:tcPr>
          <w:p w14:paraId="4D4669A4" w14:textId="77777777" w:rsidR="00410EA8" w:rsidRPr="009759C9" w:rsidRDefault="00A324C3" w:rsidP="00410EA8">
            <w:pPr>
              <w:jc w:val="left"/>
              <w:rPr>
                <w:bCs/>
                <w:sz w:val="17"/>
                <w:szCs w:val="17"/>
              </w:rPr>
            </w:pPr>
            <w:hyperlink r:id="rId112" w:history="1">
              <w:r w:rsidR="00410EA8" w:rsidRPr="009759C9">
                <w:rPr>
                  <w:rStyle w:val="Hyperlink"/>
                  <w:bCs/>
                  <w:sz w:val="17"/>
                  <w:szCs w:val="17"/>
                </w:rPr>
                <w:t xml:space="preserve">"Covid-19, funds sector, and sustainably serving the economy” - Director General, Financial Conduct, </w:t>
              </w:r>
              <w:proofErr w:type="spellStart"/>
              <w:r w:rsidR="00410EA8" w:rsidRPr="009759C9">
                <w:rPr>
                  <w:rStyle w:val="Hyperlink"/>
                  <w:bCs/>
                  <w:sz w:val="17"/>
                  <w:szCs w:val="17"/>
                </w:rPr>
                <w:t>Derville</w:t>
              </w:r>
              <w:proofErr w:type="spellEnd"/>
              <w:r w:rsidR="00410EA8" w:rsidRPr="009759C9">
                <w:rPr>
                  <w:rStyle w:val="Hyperlink"/>
                  <w:bCs/>
                  <w:sz w:val="17"/>
                  <w:szCs w:val="17"/>
                </w:rPr>
                <w:t xml:space="preserve"> Rowland</w:t>
              </w:r>
            </w:hyperlink>
            <w:r w:rsidR="00410EA8" w:rsidRPr="009759C9">
              <w:rPr>
                <w:bCs/>
                <w:sz w:val="17"/>
                <w:szCs w:val="17"/>
              </w:rPr>
              <w:t xml:space="preserve"> </w:t>
            </w:r>
          </w:p>
          <w:p w14:paraId="57C9E8D1" w14:textId="77777777" w:rsidR="00410EA8" w:rsidRPr="009759C9" w:rsidRDefault="00410EA8" w:rsidP="004C0BE0">
            <w:pPr>
              <w:jc w:val="left"/>
              <w:rPr>
                <w:sz w:val="17"/>
                <w:szCs w:val="17"/>
              </w:rPr>
            </w:pPr>
          </w:p>
        </w:tc>
        <w:tc>
          <w:tcPr>
            <w:tcW w:w="1819" w:type="dxa"/>
            <w:shd w:val="clear" w:color="auto" w:fill="auto"/>
          </w:tcPr>
          <w:p w14:paraId="77F57D94" w14:textId="77777777" w:rsidR="00410EA8" w:rsidRPr="009759C9" w:rsidRDefault="00410EA8" w:rsidP="004C0BE0">
            <w:pPr>
              <w:jc w:val="left"/>
              <w:rPr>
                <w:color w:val="FF0000"/>
                <w:sz w:val="17"/>
                <w:szCs w:val="17"/>
              </w:rPr>
            </w:pPr>
          </w:p>
        </w:tc>
        <w:tc>
          <w:tcPr>
            <w:tcW w:w="2155" w:type="dxa"/>
            <w:shd w:val="clear" w:color="auto" w:fill="auto"/>
          </w:tcPr>
          <w:p w14:paraId="1FDF86F0" w14:textId="2CFC013E" w:rsidR="00410EA8" w:rsidRPr="009759C9" w:rsidRDefault="00056E93" w:rsidP="00056E93">
            <w:pPr>
              <w:jc w:val="left"/>
              <w:rPr>
                <w:sz w:val="17"/>
                <w:szCs w:val="17"/>
              </w:rPr>
            </w:pPr>
            <w:r w:rsidRPr="009759C9">
              <w:rPr>
                <w:sz w:val="17"/>
                <w:szCs w:val="17"/>
              </w:rPr>
              <w:t xml:space="preserve">All Regulated Financial Service Providers  </w:t>
            </w:r>
          </w:p>
        </w:tc>
        <w:tc>
          <w:tcPr>
            <w:tcW w:w="5523" w:type="dxa"/>
            <w:shd w:val="clear" w:color="auto" w:fill="auto"/>
          </w:tcPr>
          <w:p w14:paraId="6EA6C157" w14:textId="1B4DE75E" w:rsidR="00056E93" w:rsidRPr="009759C9" w:rsidRDefault="00056E93" w:rsidP="00056E93">
            <w:pPr>
              <w:jc w:val="left"/>
              <w:rPr>
                <w:bCs/>
                <w:sz w:val="17"/>
                <w:szCs w:val="17"/>
              </w:rPr>
            </w:pPr>
            <w:r w:rsidRPr="009759C9">
              <w:rPr>
                <w:bCs/>
                <w:sz w:val="17"/>
                <w:szCs w:val="17"/>
              </w:rPr>
              <w:t xml:space="preserve">Director General </w:t>
            </w:r>
            <w:proofErr w:type="spellStart"/>
            <w:r w:rsidRPr="009759C9">
              <w:rPr>
                <w:bCs/>
                <w:sz w:val="17"/>
                <w:szCs w:val="17"/>
              </w:rPr>
              <w:t>Derville</w:t>
            </w:r>
            <w:proofErr w:type="spellEnd"/>
            <w:r w:rsidRPr="009759C9">
              <w:rPr>
                <w:bCs/>
                <w:sz w:val="17"/>
                <w:szCs w:val="17"/>
              </w:rPr>
              <w:t xml:space="preserve"> Rowland delivered a speech at the Irish Funds Global Conference for 2021. During her address Ms Rowland noted that while the financial system has proved resilient throughout the pandemic there are weaknesses identified in certain sectors of the funds industry which need to be addressed. </w:t>
            </w:r>
          </w:p>
          <w:p w14:paraId="4928D593" w14:textId="635B9157" w:rsidR="00056E93" w:rsidRPr="009759C9" w:rsidRDefault="00056E93" w:rsidP="00056E93">
            <w:pPr>
              <w:jc w:val="left"/>
              <w:rPr>
                <w:bCs/>
                <w:sz w:val="17"/>
                <w:szCs w:val="17"/>
              </w:rPr>
            </w:pPr>
            <w:r w:rsidRPr="009759C9">
              <w:rPr>
                <w:bCs/>
                <w:sz w:val="17"/>
                <w:szCs w:val="17"/>
              </w:rPr>
              <w:t xml:space="preserve">At an EU level the CBI noted the occurrence of redemption stresses in Money Market Funds, and in less liquid open-ended funds. As a result, money market funds and liquidity management practices in the funds sector are currently under review.  Ms Rowland noted there is a clear need to implement a </w:t>
            </w:r>
            <w:proofErr w:type="spellStart"/>
            <w:r w:rsidRPr="009759C9">
              <w:rPr>
                <w:bCs/>
                <w:sz w:val="17"/>
                <w:szCs w:val="17"/>
              </w:rPr>
              <w:t>macroprudential</w:t>
            </w:r>
            <w:proofErr w:type="spellEnd"/>
            <w:r w:rsidRPr="009759C9">
              <w:rPr>
                <w:bCs/>
                <w:sz w:val="17"/>
                <w:szCs w:val="17"/>
              </w:rPr>
              <w:t xml:space="preserve"> framework for investment funds. </w:t>
            </w:r>
          </w:p>
          <w:p w14:paraId="22F1534C" w14:textId="64C67561" w:rsidR="00056E93" w:rsidRPr="009759C9" w:rsidRDefault="00056E93" w:rsidP="00056E93">
            <w:pPr>
              <w:jc w:val="left"/>
              <w:rPr>
                <w:bCs/>
                <w:sz w:val="17"/>
                <w:szCs w:val="17"/>
              </w:rPr>
            </w:pPr>
            <w:r w:rsidRPr="009759C9">
              <w:rPr>
                <w:bCs/>
                <w:sz w:val="17"/>
                <w:szCs w:val="17"/>
              </w:rPr>
              <w:t xml:space="preserve">In respect of the Irish funds sector, Ms Rowland highlighted the stringent approach to supervision and authorisations which the CBI implements, particularly in respect of funds designed for retail investors. She also referenced the in-depth thematic review of fund management companies which the CBI recently conducted. </w:t>
            </w:r>
          </w:p>
          <w:p w14:paraId="0DE47931" w14:textId="7F013E0B" w:rsidR="00056E93" w:rsidRPr="009759C9" w:rsidRDefault="00056E93" w:rsidP="00056E93">
            <w:pPr>
              <w:jc w:val="left"/>
              <w:rPr>
                <w:bCs/>
                <w:sz w:val="17"/>
                <w:szCs w:val="17"/>
              </w:rPr>
            </w:pPr>
            <w:r w:rsidRPr="009759C9">
              <w:rPr>
                <w:bCs/>
                <w:sz w:val="17"/>
                <w:szCs w:val="17"/>
              </w:rPr>
              <w:t xml:space="preserve">Ms Rowland further highlighted the need for diversity at senior management and board level and its connection with risk, resilience and financial performance. She described how further work is needed to achieve these objectives, particularly in respect of gender diversity in PCF roles. On a related point, Ms Rowland stated that ESG issues are a strategic priority for the CBI as evidenced by their newly established Climate Change Unit.  </w:t>
            </w:r>
          </w:p>
          <w:p w14:paraId="110A0B4B" w14:textId="3C0C5FC4" w:rsidR="00056E93" w:rsidRPr="009759C9" w:rsidRDefault="00056E93" w:rsidP="00056E93">
            <w:pPr>
              <w:jc w:val="left"/>
              <w:rPr>
                <w:bCs/>
                <w:sz w:val="17"/>
                <w:szCs w:val="17"/>
              </w:rPr>
            </w:pPr>
            <w:r w:rsidRPr="009759C9">
              <w:rPr>
                <w:bCs/>
                <w:sz w:val="17"/>
                <w:szCs w:val="17"/>
              </w:rPr>
              <w:t xml:space="preserve">Director General Rowland concluded by noting that the CBI hopes to improve its engagement with stakeholders based on the findings of its recently concluded </w:t>
            </w:r>
            <w:r w:rsidR="009B53ED" w:rsidRPr="009759C9">
              <w:rPr>
                <w:bCs/>
                <w:sz w:val="17"/>
                <w:szCs w:val="17"/>
              </w:rPr>
              <w:t xml:space="preserve">stakeholder </w:t>
            </w:r>
            <w:r w:rsidRPr="009759C9">
              <w:rPr>
                <w:bCs/>
                <w:sz w:val="17"/>
                <w:szCs w:val="17"/>
              </w:rPr>
              <w:t xml:space="preserve">consultation paper. </w:t>
            </w:r>
          </w:p>
          <w:p w14:paraId="5D485584" w14:textId="77777777" w:rsidR="00410EA8" w:rsidRPr="009759C9" w:rsidRDefault="00410EA8" w:rsidP="00DF7FC5">
            <w:pPr>
              <w:jc w:val="left"/>
              <w:rPr>
                <w:sz w:val="17"/>
                <w:szCs w:val="17"/>
              </w:rPr>
            </w:pPr>
          </w:p>
        </w:tc>
      </w:tr>
      <w:tr w:rsidR="00AB1C01" w:rsidRPr="00AD12F5" w14:paraId="65B28DB0" w14:textId="77777777" w:rsidTr="000D5894">
        <w:trPr>
          <w:cantSplit/>
        </w:trPr>
        <w:tc>
          <w:tcPr>
            <w:tcW w:w="1097" w:type="dxa"/>
            <w:shd w:val="clear" w:color="auto" w:fill="auto"/>
          </w:tcPr>
          <w:p w14:paraId="6CDA3BCD" w14:textId="423F0623" w:rsidR="00AB1C01" w:rsidRPr="009759C9" w:rsidRDefault="00AB1C01" w:rsidP="004C0BE0">
            <w:pPr>
              <w:jc w:val="left"/>
              <w:rPr>
                <w:b/>
                <w:sz w:val="17"/>
                <w:szCs w:val="17"/>
              </w:rPr>
            </w:pPr>
            <w:r w:rsidRPr="009759C9">
              <w:rPr>
                <w:b/>
                <w:sz w:val="17"/>
                <w:szCs w:val="17"/>
              </w:rPr>
              <w:t>16 June 2021</w:t>
            </w:r>
          </w:p>
        </w:tc>
        <w:tc>
          <w:tcPr>
            <w:tcW w:w="1880" w:type="dxa"/>
            <w:shd w:val="clear" w:color="auto" w:fill="auto"/>
          </w:tcPr>
          <w:p w14:paraId="0B3523EF" w14:textId="48B8E014" w:rsidR="00AB1C01" w:rsidRPr="009759C9" w:rsidRDefault="00A324C3" w:rsidP="00410EA8">
            <w:pPr>
              <w:jc w:val="left"/>
              <w:rPr>
                <w:sz w:val="17"/>
                <w:szCs w:val="17"/>
              </w:rPr>
            </w:pPr>
            <w:hyperlink r:id="rId113" w:history="1">
              <w:r w:rsidR="00AB1C01" w:rsidRPr="009759C9">
                <w:rPr>
                  <w:rStyle w:val="Hyperlink"/>
                  <w:sz w:val="17"/>
                  <w:szCs w:val="17"/>
                </w:rPr>
                <w:t xml:space="preserve">"“Conditions have improved, but the recovery may be bumpy and uneven.” - Governor Gabriel </w:t>
              </w:r>
              <w:proofErr w:type="spellStart"/>
              <w:r w:rsidR="00AB1C01" w:rsidRPr="009759C9">
                <w:rPr>
                  <w:rStyle w:val="Hyperlink"/>
                  <w:sz w:val="17"/>
                  <w:szCs w:val="17"/>
                </w:rPr>
                <w:t>Makhlouf</w:t>
              </w:r>
              <w:proofErr w:type="spellEnd"/>
            </w:hyperlink>
          </w:p>
        </w:tc>
        <w:tc>
          <w:tcPr>
            <w:tcW w:w="1819" w:type="dxa"/>
            <w:shd w:val="clear" w:color="auto" w:fill="auto"/>
          </w:tcPr>
          <w:p w14:paraId="10B03010" w14:textId="77777777" w:rsidR="00AB1C01" w:rsidRPr="009759C9" w:rsidRDefault="00AB1C01" w:rsidP="004C0BE0">
            <w:pPr>
              <w:jc w:val="left"/>
              <w:rPr>
                <w:color w:val="FF0000"/>
                <w:sz w:val="17"/>
                <w:szCs w:val="17"/>
              </w:rPr>
            </w:pPr>
          </w:p>
        </w:tc>
        <w:tc>
          <w:tcPr>
            <w:tcW w:w="2155" w:type="dxa"/>
            <w:shd w:val="clear" w:color="auto" w:fill="auto"/>
          </w:tcPr>
          <w:p w14:paraId="52309E0B" w14:textId="152A846F" w:rsidR="00AB1C01" w:rsidRPr="009759C9" w:rsidRDefault="00AB1C01" w:rsidP="00056E93">
            <w:pPr>
              <w:jc w:val="left"/>
              <w:rPr>
                <w:sz w:val="17"/>
                <w:szCs w:val="17"/>
              </w:rPr>
            </w:pPr>
            <w:r w:rsidRPr="009759C9">
              <w:rPr>
                <w:sz w:val="17"/>
                <w:szCs w:val="17"/>
              </w:rPr>
              <w:t xml:space="preserve">Credit Institutions </w:t>
            </w:r>
          </w:p>
        </w:tc>
        <w:tc>
          <w:tcPr>
            <w:tcW w:w="5523" w:type="dxa"/>
            <w:shd w:val="clear" w:color="auto" w:fill="auto"/>
          </w:tcPr>
          <w:p w14:paraId="2E2BE9BC" w14:textId="6375B6EC" w:rsidR="00AB1C01" w:rsidRPr="009759C9" w:rsidRDefault="00AB1C01" w:rsidP="00AB1C01">
            <w:pPr>
              <w:jc w:val="left"/>
              <w:rPr>
                <w:bCs/>
                <w:sz w:val="17"/>
                <w:szCs w:val="17"/>
              </w:rPr>
            </w:pPr>
            <w:r w:rsidRPr="009759C9">
              <w:rPr>
                <w:bCs/>
                <w:sz w:val="17"/>
                <w:szCs w:val="17"/>
              </w:rPr>
              <w:t xml:space="preserve">The Central Bank of Ireland has published the first Financial Stability Review of 2021. The findings of the review illustrate that the roll out of the COVID-19 vaccination programme has reduced uncertainty and downside risks to the macro financial outlook. The Central Bank highlighted how its </w:t>
            </w:r>
            <w:proofErr w:type="spellStart"/>
            <w:r w:rsidRPr="009759C9">
              <w:rPr>
                <w:bCs/>
                <w:sz w:val="17"/>
                <w:szCs w:val="17"/>
              </w:rPr>
              <w:t>macroprudential</w:t>
            </w:r>
            <w:proofErr w:type="spellEnd"/>
            <w:r w:rsidRPr="009759C9">
              <w:rPr>
                <w:bCs/>
                <w:sz w:val="17"/>
                <w:szCs w:val="17"/>
              </w:rPr>
              <w:t xml:space="preserve"> stance aims to enable the banking system to absorb shocks and maintain credit supplies to households and businesses throughout the recovery. It was also noted however, that the recovery may not be stable across the board and that "the viability of some businesses will be tested by the necessary tapering of government supports". The Review also concluded that the current Countercyclical Capital Buffer rate of 0% remains appropriate for the macro-financial conditions expected in 2021. </w:t>
            </w:r>
          </w:p>
        </w:tc>
      </w:tr>
      <w:tr w:rsidR="006304AE" w:rsidRPr="00AD12F5" w14:paraId="3B23CC54" w14:textId="77777777" w:rsidTr="000D5894">
        <w:trPr>
          <w:cantSplit/>
        </w:trPr>
        <w:tc>
          <w:tcPr>
            <w:tcW w:w="1097" w:type="dxa"/>
            <w:shd w:val="clear" w:color="auto" w:fill="auto"/>
          </w:tcPr>
          <w:p w14:paraId="2DAE1EC7" w14:textId="4151D230" w:rsidR="006304AE" w:rsidRPr="009759C9" w:rsidRDefault="006304AE" w:rsidP="004C0BE0">
            <w:pPr>
              <w:jc w:val="left"/>
              <w:rPr>
                <w:b/>
                <w:sz w:val="16"/>
                <w:szCs w:val="16"/>
              </w:rPr>
            </w:pPr>
            <w:r w:rsidRPr="009759C9">
              <w:rPr>
                <w:b/>
                <w:sz w:val="17"/>
                <w:szCs w:val="17"/>
              </w:rPr>
              <w:t>13 July 2021</w:t>
            </w:r>
          </w:p>
        </w:tc>
        <w:tc>
          <w:tcPr>
            <w:tcW w:w="1880" w:type="dxa"/>
            <w:shd w:val="clear" w:color="auto" w:fill="auto"/>
          </w:tcPr>
          <w:p w14:paraId="08C45135" w14:textId="77777777" w:rsidR="008F75B0" w:rsidRPr="009759C9" w:rsidRDefault="00A324C3" w:rsidP="008F75B0">
            <w:pPr>
              <w:jc w:val="left"/>
            </w:pPr>
            <w:hyperlink r:id="rId114" w:history="1">
              <w:r w:rsidR="008F75B0" w:rsidRPr="009759C9">
                <w:rPr>
                  <w:rStyle w:val="Hyperlink"/>
                </w:rPr>
                <w:t>“</w:t>
              </w:r>
              <w:r w:rsidR="008F75B0" w:rsidRPr="009759C9">
                <w:rPr>
                  <w:rStyle w:val="Hyperlink"/>
                  <w:sz w:val="17"/>
                  <w:szCs w:val="17"/>
                </w:rPr>
                <w:t>More action is needed by lenders to resolve long-term mortgage arrears, to support distressed borrowers and improve the functioning of the mortgage market for all” - Deputy Governor Ed Sibley</w:t>
              </w:r>
            </w:hyperlink>
            <w:r w:rsidR="008F75B0" w:rsidRPr="009759C9">
              <w:t xml:space="preserve"> </w:t>
            </w:r>
          </w:p>
          <w:p w14:paraId="0BDF8F10" w14:textId="77777777" w:rsidR="006304AE" w:rsidRPr="009759C9" w:rsidRDefault="006304AE" w:rsidP="00410EA8">
            <w:pPr>
              <w:jc w:val="left"/>
            </w:pPr>
          </w:p>
        </w:tc>
        <w:tc>
          <w:tcPr>
            <w:tcW w:w="1819" w:type="dxa"/>
            <w:shd w:val="clear" w:color="auto" w:fill="auto"/>
          </w:tcPr>
          <w:p w14:paraId="1A801954" w14:textId="77777777" w:rsidR="006304AE" w:rsidRPr="009759C9" w:rsidRDefault="006304AE" w:rsidP="004C0BE0">
            <w:pPr>
              <w:jc w:val="left"/>
              <w:rPr>
                <w:color w:val="FF0000"/>
                <w:sz w:val="17"/>
                <w:szCs w:val="17"/>
              </w:rPr>
            </w:pPr>
          </w:p>
        </w:tc>
        <w:tc>
          <w:tcPr>
            <w:tcW w:w="2155" w:type="dxa"/>
            <w:shd w:val="clear" w:color="auto" w:fill="auto"/>
          </w:tcPr>
          <w:p w14:paraId="3F586E0D" w14:textId="0DAFF5A9" w:rsidR="006304AE" w:rsidRPr="009759C9" w:rsidRDefault="003205A2" w:rsidP="00056E93">
            <w:pPr>
              <w:jc w:val="left"/>
              <w:rPr>
                <w:sz w:val="17"/>
                <w:szCs w:val="17"/>
              </w:rPr>
            </w:pPr>
            <w:r w:rsidRPr="009759C9">
              <w:rPr>
                <w:sz w:val="17"/>
                <w:szCs w:val="17"/>
              </w:rPr>
              <w:t>Credit Institutions and Borrowers</w:t>
            </w:r>
          </w:p>
        </w:tc>
        <w:tc>
          <w:tcPr>
            <w:tcW w:w="5523" w:type="dxa"/>
            <w:shd w:val="clear" w:color="auto" w:fill="auto"/>
          </w:tcPr>
          <w:p w14:paraId="3E82CDF4" w14:textId="40F1B7AA" w:rsidR="006304AE" w:rsidRPr="009759C9" w:rsidRDefault="00157270" w:rsidP="003205A2">
            <w:pPr>
              <w:jc w:val="left"/>
              <w:rPr>
                <w:bCs/>
                <w:sz w:val="17"/>
                <w:szCs w:val="17"/>
              </w:rPr>
            </w:pPr>
            <w:r w:rsidRPr="009759C9">
              <w:rPr>
                <w:bCs/>
                <w:sz w:val="17"/>
                <w:szCs w:val="17"/>
              </w:rPr>
              <w:t>Deputy Governor Ed Sibley delivered a speech at the Banking &amp; Payments Federation</w:t>
            </w:r>
            <w:r w:rsidR="003205A2" w:rsidRPr="009759C9">
              <w:rPr>
                <w:bCs/>
                <w:sz w:val="17"/>
                <w:szCs w:val="17"/>
              </w:rPr>
              <w:t xml:space="preserve"> Ireland outlining</w:t>
            </w:r>
            <w:r w:rsidRPr="009759C9">
              <w:rPr>
                <w:bCs/>
                <w:sz w:val="17"/>
                <w:szCs w:val="17"/>
              </w:rPr>
              <w:t xml:space="preserve"> the CBI's </w:t>
            </w:r>
            <w:r w:rsidR="003205A2" w:rsidRPr="009759C9">
              <w:rPr>
                <w:bCs/>
                <w:sz w:val="17"/>
                <w:szCs w:val="17"/>
              </w:rPr>
              <w:t xml:space="preserve">recent </w:t>
            </w:r>
            <w:r w:rsidRPr="009759C9">
              <w:rPr>
                <w:bCs/>
                <w:sz w:val="17"/>
                <w:szCs w:val="17"/>
              </w:rPr>
              <w:t xml:space="preserve">work </w:t>
            </w:r>
            <w:r w:rsidR="003205A2" w:rsidRPr="009759C9">
              <w:rPr>
                <w:bCs/>
                <w:sz w:val="17"/>
                <w:szCs w:val="17"/>
              </w:rPr>
              <w:t>on</w:t>
            </w:r>
            <w:r w:rsidRPr="009759C9">
              <w:rPr>
                <w:bCs/>
                <w:sz w:val="17"/>
                <w:szCs w:val="17"/>
              </w:rPr>
              <w:t xml:space="preserve"> distressed debt </w:t>
            </w:r>
            <w:r w:rsidR="0000162C" w:rsidRPr="009759C9">
              <w:rPr>
                <w:bCs/>
                <w:sz w:val="17"/>
                <w:szCs w:val="17"/>
              </w:rPr>
              <w:t xml:space="preserve">and long-term mortgage arrears. The speech coincided with the publication of four papers by the CBI focused on distressed mortgage debt. </w:t>
            </w:r>
            <w:r w:rsidR="003205A2" w:rsidRPr="009759C9">
              <w:rPr>
                <w:bCs/>
                <w:sz w:val="17"/>
                <w:szCs w:val="17"/>
              </w:rPr>
              <w:t xml:space="preserve">Mr Sibley noted that the resolution of long-term mortgage arrears will be a key focus of the CBI's supervisory lens in the coming months. He also provided an update on the recent consultation on the Standard Financial Statement (SFS). Based on the </w:t>
            </w:r>
            <w:r w:rsidR="004102EB" w:rsidRPr="009759C9">
              <w:rPr>
                <w:bCs/>
                <w:sz w:val="17"/>
                <w:szCs w:val="17"/>
              </w:rPr>
              <w:t>feedback</w:t>
            </w:r>
            <w:r w:rsidR="003205A2" w:rsidRPr="009759C9">
              <w:rPr>
                <w:bCs/>
                <w:sz w:val="17"/>
                <w:szCs w:val="17"/>
              </w:rPr>
              <w:t xml:space="preserve"> received</w:t>
            </w:r>
            <w:r w:rsidR="004102EB" w:rsidRPr="009759C9">
              <w:rPr>
                <w:bCs/>
                <w:sz w:val="17"/>
                <w:szCs w:val="17"/>
              </w:rPr>
              <w:t>,</w:t>
            </w:r>
            <w:r w:rsidR="003205A2" w:rsidRPr="009759C9">
              <w:rPr>
                <w:bCs/>
                <w:sz w:val="17"/>
                <w:szCs w:val="17"/>
              </w:rPr>
              <w:t xml:space="preserve"> the CBI will issue a more focused SFS which will become effective from 1 January 2022. </w:t>
            </w:r>
          </w:p>
        </w:tc>
      </w:tr>
      <w:tr w:rsidR="009D41EE" w:rsidRPr="00AD12F5" w14:paraId="48B8CF29" w14:textId="77777777" w:rsidTr="000D5894">
        <w:trPr>
          <w:cantSplit/>
        </w:trPr>
        <w:tc>
          <w:tcPr>
            <w:tcW w:w="1097" w:type="dxa"/>
            <w:shd w:val="clear" w:color="auto" w:fill="auto"/>
          </w:tcPr>
          <w:p w14:paraId="131C033F" w14:textId="02CB0CA4" w:rsidR="009D41EE" w:rsidRPr="009759C9" w:rsidRDefault="009D41EE" w:rsidP="004C0BE0">
            <w:pPr>
              <w:jc w:val="left"/>
              <w:rPr>
                <w:b/>
                <w:sz w:val="17"/>
                <w:szCs w:val="17"/>
              </w:rPr>
            </w:pPr>
            <w:r w:rsidRPr="009759C9">
              <w:rPr>
                <w:b/>
                <w:sz w:val="17"/>
                <w:szCs w:val="17"/>
              </w:rPr>
              <w:t>14 July 2021</w:t>
            </w:r>
          </w:p>
        </w:tc>
        <w:tc>
          <w:tcPr>
            <w:tcW w:w="1880" w:type="dxa"/>
            <w:shd w:val="clear" w:color="auto" w:fill="auto"/>
          </w:tcPr>
          <w:p w14:paraId="34B53C7D" w14:textId="02335A25" w:rsidR="009D41EE" w:rsidRPr="009759C9" w:rsidRDefault="00A324C3" w:rsidP="00410EA8">
            <w:pPr>
              <w:jc w:val="left"/>
            </w:pPr>
            <w:hyperlink r:id="rId115" w:history="1">
              <w:r w:rsidR="00083F36" w:rsidRPr="009759C9">
                <w:rPr>
                  <w:rStyle w:val="Hyperlink"/>
                  <w:sz w:val="17"/>
                  <w:szCs w:val="17"/>
                </w:rPr>
                <w:t>COVID-19 - Prudential Regulatory Flexibility Measures – Credit Institutions</w:t>
              </w:r>
            </w:hyperlink>
          </w:p>
        </w:tc>
        <w:tc>
          <w:tcPr>
            <w:tcW w:w="1819" w:type="dxa"/>
            <w:shd w:val="clear" w:color="auto" w:fill="auto"/>
          </w:tcPr>
          <w:p w14:paraId="27DE4E85" w14:textId="77777777" w:rsidR="009D41EE" w:rsidRPr="009759C9" w:rsidRDefault="009D41EE" w:rsidP="004C0BE0">
            <w:pPr>
              <w:jc w:val="left"/>
              <w:rPr>
                <w:color w:val="FF0000"/>
                <w:sz w:val="17"/>
                <w:szCs w:val="17"/>
              </w:rPr>
            </w:pPr>
          </w:p>
        </w:tc>
        <w:tc>
          <w:tcPr>
            <w:tcW w:w="2155" w:type="dxa"/>
            <w:shd w:val="clear" w:color="auto" w:fill="auto"/>
          </w:tcPr>
          <w:p w14:paraId="16770642" w14:textId="549B986F" w:rsidR="009D41EE" w:rsidRPr="009759C9" w:rsidRDefault="009D41EE" w:rsidP="00056E93">
            <w:pPr>
              <w:jc w:val="left"/>
              <w:rPr>
                <w:sz w:val="17"/>
                <w:szCs w:val="17"/>
              </w:rPr>
            </w:pPr>
            <w:r w:rsidRPr="009759C9">
              <w:rPr>
                <w:sz w:val="17"/>
                <w:szCs w:val="17"/>
              </w:rPr>
              <w:t xml:space="preserve">Credit Institutions </w:t>
            </w:r>
          </w:p>
        </w:tc>
        <w:tc>
          <w:tcPr>
            <w:tcW w:w="5523" w:type="dxa"/>
            <w:shd w:val="clear" w:color="auto" w:fill="auto"/>
          </w:tcPr>
          <w:p w14:paraId="6F37BF75" w14:textId="210D5E12" w:rsidR="009D41EE" w:rsidRPr="009759C9" w:rsidRDefault="009D41EE" w:rsidP="00083F36">
            <w:pPr>
              <w:jc w:val="left"/>
              <w:rPr>
                <w:bCs/>
                <w:sz w:val="17"/>
                <w:szCs w:val="17"/>
              </w:rPr>
            </w:pPr>
            <w:r w:rsidRPr="009759C9">
              <w:rPr>
                <w:bCs/>
                <w:sz w:val="17"/>
                <w:szCs w:val="17"/>
              </w:rPr>
              <w:t xml:space="preserve">The Central Bank of Ireland has updated its COVID-19 Prudential Regulatory Flexibility Measures for Credit Institutions. The </w:t>
            </w:r>
            <w:r w:rsidR="00083F36" w:rsidRPr="009759C9">
              <w:rPr>
                <w:bCs/>
                <w:sz w:val="17"/>
                <w:szCs w:val="17"/>
              </w:rPr>
              <w:t xml:space="preserve">update provides that effective from 28 June 2021 credit institutions may continue to exclude certain Central Bank exposures from the leverage ratio until 31 March 2022. Credit institutions must ensure that the 3% leverage ratio requirements only benefits exposure acquired since the beginning of the pandemic. Credit institutions must also ensure that the expiry date of 31 March 2022 is factored into its plans to maintain sufficient capital levels. </w:t>
            </w:r>
          </w:p>
        </w:tc>
      </w:tr>
      <w:tr w:rsidR="004C0BE0" w:rsidRPr="00166D67" w14:paraId="5CA9F4C8" w14:textId="77777777" w:rsidTr="00CD33E6">
        <w:trPr>
          <w:cantSplit/>
        </w:trPr>
        <w:tc>
          <w:tcPr>
            <w:tcW w:w="12474" w:type="dxa"/>
            <w:gridSpan w:val="5"/>
            <w:tcBorders>
              <w:top w:val="single" w:sz="4" w:space="0" w:color="auto"/>
            </w:tcBorders>
            <w:shd w:val="clear" w:color="auto" w:fill="2CD5C4" w:themeFill="accent1"/>
          </w:tcPr>
          <w:p w14:paraId="651B2010" w14:textId="77777777" w:rsidR="004C0BE0" w:rsidRPr="007F1827" w:rsidRDefault="004C0BE0" w:rsidP="004C0BE0">
            <w:pPr>
              <w:jc w:val="left"/>
              <w:rPr>
                <w:b/>
                <w:sz w:val="17"/>
                <w:szCs w:val="17"/>
              </w:rPr>
            </w:pPr>
            <w:r w:rsidRPr="007F1827">
              <w:rPr>
                <w:b/>
                <w:sz w:val="17"/>
                <w:szCs w:val="17"/>
              </w:rPr>
              <w:t>European Banking Authority (EBA)</w:t>
            </w:r>
          </w:p>
        </w:tc>
      </w:tr>
      <w:tr w:rsidR="004C0BE0" w:rsidRPr="00166D67" w14:paraId="284962CB" w14:textId="77777777" w:rsidTr="001701F9">
        <w:trPr>
          <w:cantSplit/>
        </w:trPr>
        <w:tc>
          <w:tcPr>
            <w:tcW w:w="1097" w:type="dxa"/>
            <w:shd w:val="clear" w:color="auto" w:fill="auto"/>
          </w:tcPr>
          <w:p w14:paraId="7F2076DE" w14:textId="77777777" w:rsidR="004C0BE0" w:rsidRPr="007F1827" w:rsidRDefault="004C0BE0" w:rsidP="004C0BE0">
            <w:pPr>
              <w:jc w:val="left"/>
              <w:rPr>
                <w:b/>
                <w:sz w:val="17"/>
                <w:szCs w:val="17"/>
              </w:rPr>
            </w:pPr>
            <w:r w:rsidRPr="007F1827">
              <w:rPr>
                <w:b/>
                <w:sz w:val="17"/>
                <w:szCs w:val="17"/>
              </w:rPr>
              <w:t>12 March 2020</w:t>
            </w:r>
          </w:p>
        </w:tc>
        <w:tc>
          <w:tcPr>
            <w:tcW w:w="1880" w:type="dxa"/>
          </w:tcPr>
          <w:p w14:paraId="1B7D172A" w14:textId="77777777" w:rsidR="004C0BE0" w:rsidRPr="00166D67" w:rsidRDefault="00A324C3" w:rsidP="004C0BE0">
            <w:pPr>
              <w:jc w:val="left"/>
              <w:rPr>
                <w:sz w:val="17"/>
                <w:szCs w:val="17"/>
              </w:rPr>
            </w:pPr>
            <w:hyperlink r:id="rId116" w:history="1">
              <w:r w:rsidR="004C0BE0" w:rsidRPr="00166D67">
                <w:rPr>
                  <w:rStyle w:val="Hyperlink"/>
                  <w:sz w:val="17"/>
                  <w:szCs w:val="17"/>
                </w:rPr>
                <w:t>EBA statement on actions to mitigate the impact of COVID-19 on the EU banking sector</w:t>
              </w:r>
            </w:hyperlink>
          </w:p>
        </w:tc>
        <w:tc>
          <w:tcPr>
            <w:tcW w:w="1819" w:type="dxa"/>
          </w:tcPr>
          <w:p w14:paraId="28EE6B1E" w14:textId="5C16B5AB" w:rsidR="004C0BE0" w:rsidRPr="00166D67" w:rsidRDefault="00A324C3" w:rsidP="004C0BE0">
            <w:pPr>
              <w:jc w:val="left"/>
              <w:rPr>
                <w:sz w:val="17"/>
                <w:szCs w:val="17"/>
              </w:rPr>
            </w:pPr>
            <w:hyperlink r:id="rId117" w:history="1">
              <w:r w:rsidR="004C0BE0" w:rsidRPr="00166D67">
                <w:rPr>
                  <w:rStyle w:val="Hyperlink"/>
                  <w:sz w:val="17"/>
                  <w:szCs w:val="17"/>
                </w:rPr>
                <w:t>COVID-19: Range of banking measures announced due to the pandemic</w:t>
              </w:r>
            </w:hyperlink>
          </w:p>
        </w:tc>
        <w:tc>
          <w:tcPr>
            <w:tcW w:w="2155" w:type="dxa"/>
          </w:tcPr>
          <w:p w14:paraId="5D9034F7" w14:textId="77777777" w:rsidR="004C0BE0" w:rsidRPr="00166D67" w:rsidRDefault="004C0BE0" w:rsidP="004C0BE0">
            <w:pPr>
              <w:jc w:val="left"/>
              <w:rPr>
                <w:sz w:val="17"/>
                <w:szCs w:val="17"/>
              </w:rPr>
            </w:pPr>
            <w:r w:rsidRPr="00166D67">
              <w:rPr>
                <w:sz w:val="17"/>
                <w:szCs w:val="17"/>
              </w:rPr>
              <w:t xml:space="preserve">Credit Institutions </w:t>
            </w:r>
          </w:p>
        </w:tc>
        <w:tc>
          <w:tcPr>
            <w:tcW w:w="5523" w:type="dxa"/>
          </w:tcPr>
          <w:p w14:paraId="004CC41F" w14:textId="77777777" w:rsidR="004C0BE0" w:rsidRPr="00166D67" w:rsidRDefault="004C0BE0" w:rsidP="004C0BE0">
            <w:pPr>
              <w:jc w:val="left"/>
              <w:rPr>
                <w:sz w:val="17"/>
                <w:szCs w:val="17"/>
              </w:rPr>
            </w:pPr>
            <w:r w:rsidRPr="00166D67">
              <w:rPr>
                <w:sz w:val="17"/>
                <w:szCs w:val="17"/>
              </w:rPr>
              <w:t xml:space="preserve">The EBA announced a postponement of the EU-wide stress test exercise to 2021, in order to </w:t>
            </w:r>
            <w:r w:rsidRPr="00166D67">
              <w:rPr>
                <w:b/>
                <w:sz w:val="17"/>
                <w:szCs w:val="17"/>
              </w:rPr>
              <w:t>allow banks to focus on ensuring continuity of their core operations, such as support for customers.</w:t>
            </w:r>
            <w:r w:rsidRPr="00166D67">
              <w:rPr>
                <w:sz w:val="17"/>
                <w:szCs w:val="17"/>
              </w:rPr>
              <w:t xml:space="preserve"> </w:t>
            </w:r>
          </w:p>
          <w:p w14:paraId="1C0C8B51" w14:textId="77777777" w:rsidR="004C0BE0" w:rsidRPr="00166D67" w:rsidRDefault="004C0BE0" w:rsidP="004C0BE0">
            <w:pPr>
              <w:jc w:val="left"/>
              <w:rPr>
                <w:sz w:val="17"/>
                <w:szCs w:val="17"/>
              </w:rPr>
            </w:pPr>
            <w:r w:rsidRPr="00166D67">
              <w:rPr>
                <w:sz w:val="17"/>
                <w:szCs w:val="17"/>
              </w:rPr>
              <w:t xml:space="preserve">The EBA also </w:t>
            </w:r>
            <w:r w:rsidRPr="00166D67">
              <w:rPr>
                <w:b/>
                <w:sz w:val="17"/>
                <w:szCs w:val="17"/>
              </w:rPr>
              <w:t>encouraged National Competent Authorities (NCAs) to make use of the flexibility already embedded in the EU framework for banking regulation</w:t>
            </w:r>
            <w:r w:rsidRPr="00166D67">
              <w:rPr>
                <w:sz w:val="17"/>
                <w:szCs w:val="17"/>
              </w:rPr>
              <w:t xml:space="preserve">. In particular, NCAs should be flexible in their supervisory approach to Pillar 2 Guidance and the liquidity coverage ratio. </w:t>
            </w:r>
          </w:p>
        </w:tc>
      </w:tr>
      <w:tr w:rsidR="004C0BE0" w:rsidRPr="00166D67" w14:paraId="252936D4" w14:textId="77777777" w:rsidTr="001701F9">
        <w:trPr>
          <w:cantSplit/>
        </w:trPr>
        <w:tc>
          <w:tcPr>
            <w:tcW w:w="1097" w:type="dxa"/>
          </w:tcPr>
          <w:p w14:paraId="225FC8BC" w14:textId="77777777" w:rsidR="004C0BE0" w:rsidRPr="007F1827" w:rsidRDefault="004C0BE0" w:rsidP="004C0BE0">
            <w:pPr>
              <w:jc w:val="left"/>
              <w:rPr>
                <w:b/>
                <w:sz w:val="17"/>
                <w:szCs w:val="17"/>
              </w:rPr>
            </w:pPr>
            <w:r w:rsidRPr="007F1827">
              <w:rPr>
                <w:b/>
                <w:sz w:val="17"/>
                <w:szCs w:val="17"/>
              </w:rPr>
              <w:t>25 March 2020</w:t>
            </w:r>
          </w:p>
        </w:tc>
        <w:tc>
          <w:tcPr>
            <w:tcW w:w="1880" w:type="dxa"/>
          </w:tcPr>
          <w:p w14:paraId="4FA4969C" w14:textId="59CC2DB5" w:rsidR="004C0BE0" w:rsidRPr="00166D67" w:rsidRDefault="00A324C3" w:rsidP="004C0BE0">
            <w:pPr>
              <w:jc w:val="left"/>
              <w:rPr>
                <w:sz w:val="17"/>
                <w:szCs w:val="17"/>
              </w:rPr>
            </w:pPr>
            <w:hyperlink r:id="rId118" w:history="1">
              <w:r w:rsidR="004C0BE0" w:rsidRPr="00166D67">
                <w:rPr>
                  <w:rStyle w:val="Hyperlink"/>
                  <w:sz w:val="17"/>
                  <w:szCs w:val="17"/>
                </w:rPr>
                <w:t>Statement on the application of the prudential framework regarding Default, Forbearance and IFRS9 in light of COVID-19 measures</w:t>
              </w:r>
            </w:hyperlink>
          </w:p>
        </w:tc>
        <w:tc>
          <w:tcPr>
            <w:tcW w:w="1819" w:type="dxa"/>
          </w:tcPr>
          <w:p w14:paraId="7832AEFE" w14:textId="77777777" w:rsidR="004C0BE0" w:rsidRPr="00166D67" w:rsidRDefault="004C0BE0" w:rsidP="004C0BE0">
            <w:pPr>
              <w:jc w:val="left"/>
              <w:rPr>
                <w:sz w:val="17"/>
                <w:szCs w:val="17"/>
              </w:rPr>
            </w:pPr>
          </w:p>
        </w:tc>
        <w:tc>
          <w:tcPr>
            <w:tcW w:w="2155" w:type="dxa"/>
          </w:tcPr>
          <w:p w14:paraId="2BAE9AB1" w14:textId="366E0CAF" w:rsidR="004C0BE0" w:rsidRPr="00166D67" w:rsidRDefault="004C0BE0" w:rsidP="004C0BE0">
            <w:pPr>
              <w:jc w:val="left"/>
              <w:rPr>
                <w:sz w:val="17"/>
                <w:szCs w:val="17"/>
              </w:rPr>
            </w:pPr>
            <w:r w:rsidRPr="00166D67">
              <w:rPr>
                <w:sz w:val="17"/>
                <w:szCs w:val="17"/>
              </w:rPr>
              <w:t>Credit Institutions</w:t>
            </w:r>
          </w:p>
        </w:tc>
        <w:tc>
          <w:tcPr>
            <w:tcW w:w="5523" w:type="dxa"/>
          </w:tcPr>
          <w:p w14:paraId="4A6E82D9" w14:textId="5C773E96" w:rsidR="004C0BE0" w:rsidRPr="00166D67" w:rsidRDefault="004C0BE0" w:rsidP="004C0BE0">
            <w:pPr>
              <w:jc w:val="left"/>
              <w:rPr>
                <w:sz w:val="17"/>
                <w:szCs w:val="17"/>
              </w:rPr>
            </w:pPr>
            <w:r w:rsidRPr="00166D67">
              <w:rPr>
                <w:sz w:val="17"/>
                <w:szCs w:val="17"/>
              </w:rPr>
              <w:t xml:space="preserve">The EBA clarified how it expects NCAs to apply the prudential regulatory framework in light of COVID-19. The EBA, welcoming legislative initiatives by national governments providing for general moratoria on loan payments, stated that such </w:t>
            </w:r>
            <w:r w:rsidRPr="00166D67">
              <w:rPr>
                <w:b/>
                <w:sz w:val="17"/>
                <w:szCs w:val="17"/>
              </w:rPr>
              <w:t>generalised payment delays addressed to all borrowers should not automatically lead to classifications of default, forbearance or unlikely to pay</w:t>
            </w:r>
            <w:r w:rsidRPr="00166D67">
              <w:rPr>
                <w:sz w:val="17"/>
                <w:szCs w:val="17"/>
              </w:rPr>
              <w:t xml:space="preserve">. </w:t>
            </w:r>
          </w:p>
          <w:p w14:paraId="561600CA" w14:textId="51DD7F67" w:rsidR="004C0BE0" w:rsidRPr="00166D67" w:rsidRDefault="004C0BE0" w:rsidP="004C0BE0">
            <w:pPr>
              <w:jc w:val="left"/>
              <w:rPr>
                <w:sz w:val="17"/>
                <w:szCs w:val="17"/>
              </w:rPr>
            </w:pPr>
            <w:r w:rsidRPr="00166D67">
              <w:rPr>
                <w:sz w:val="17"/>
                <w:szCs w:val="17"/>
              </w:rPr>
              <w:t xml:space="preserve">The EBA expects each loan to be assessed carefully and using a risk-based approach. Banks </w:t>
            </w:r>
            <w:r w:rsidRPr="00166D67">
              <w:rPr>
                <w:b/>
                <w:sz w:val="17"/>
                <w:szCs w:val="17"/>
              </w:rPr>
              <w:t>must classify their exposures accurately and in a way that reflects any deterioration of asset quality</w:t>
            </w:r>
            <w:r w:rsidRPr="00166D67">
              <w:rPr>
                <w:sz w:val="17"/>
                <w:szCs w:val="17"/>
              </w:rPr>
              <w:t xml:space="preserve">. Under the </w:t>
            </w:r>
            <w:r w:rsidRPr="00166D67">
              <w:rPr>
                <w:b/>
                <w:sz w:val="17"/>
                <w:szCs w:val="17"/>
              </w:rPr>
              <w:t>IRFS 9 standards</w:t>
            </w:r>
            <w:r w:rsidRPr="00166D67">
              <w:rPr>
                <w:sz w:val="17"/>
                <w:szCs w:val="17"/>
              </w:rPr>
              <w:t xml:space="preserve">, payment moratoria should not automatically lead to a conclusion that an increase in credit risk has occurred. Banks should use a degree of judgement to </w:t>
            </w:r>
            <w:r w:rsidRPr="00166D67">
              <w:rPr>
                <w:b/>
                <w:sz w:val="17"/>
                <w:szCs w:val="17"/>
              </w:rPr>
              <w:t>distinguish between borrowers whose credit standing would not be significantly affected in the long term, and those who would be unlikely to restore their creditworthiness</w:t>
            </w:r>
            <w:r w:rsidRPr="00166D67">
              <w:rPr>
                <w:sz w:val="17"/>
                <w:szCs w:val="17"/>
              </w:rPr>
              <w:t xml:space="preserve">. </w:t>
            </w:r>
          </w:p>
        </w:tc>
      </w:tr>
      <w:tr w:rsidR="004C0BE0" w:rsidRPr="00166D67" w14:paraId="03222FDB" w14:textId="77777777" w:rsidTr="001701F9">
        <w:trPr>
          <w:cantSplit/>
        </w:trPr>
        <w:tc>
          <w:tcPr>
            <w:tcW w:w="1097" w:type="dxa"/>
          </w:tcPr>
          <w:p w14:paraId="17657F46" w14:textId="78A16F30" w:rsidR="004C0BE0" w:rsidRPr="007F1827" w:rsidRDefault="004C0BE0" w:rsidP="004C0BE0">
            <w:pPr>
              <w:jc w:val="left"/>
              <w:rPr>
                <w:b/>
                <w:sz w:val="17"/>
                <w:szCs w:val="17"/>
              </w:rPr>
            </w:pPr>
            <w:r w:rsidRPr="007F1827">
              <w:rPr>
                <w:b/>
                <w:sz w:val="17"/>
                <w:szCs w:val="17"/>
              </w:rPr>
              <w:t>25 March 2020</w:t>
            </w:r>
          </w:p>
        </w:tc>
        <w:tc>
          <w:tcPr>
            <w:tcW w:w="1880" w:type="dxa"/>
          </w:tcPr>
          <w:p w14:paraId="2BD0588D" w14:textId="22BE7393" w:rsidR="004C0BE0" w:rsidRPr="00166D67" w:rsidRDefault="00A324C3" w:rsidP="004C0BE0">
            <w:pPr>
              <w:jc w:val="left"/>
              <w:rPr>
                <w:sz w:val="17"/>
                <w:szCs w:val="17"/>
              </w:rPr>
            </w:pPr>
            <w:hyperlink r:id="rId119" w:history="1">
              <w:r w:rsidR="004C0BE0" w:rsidRPr="00166D67">
                <w:rPr>
                  <w:rStyle w:val="Hyperlink"/>
                  <w:sz w:val="17"/>
                  <w:szCs w:val="17"/>
                </w:rPr>
                <w:t>Statement on consumer and payment issues in light of COVID19</w:t>
              </w:r>
            </w:hyperlink>
          </w:p>
        </w:tc>
        <w:tc>
          <w:tcPr>
            <w:tcW w:w="1819" w:type="dxa"/>
          </w:tcPr>
          <w:p w14:paraId="72E1F4EF" w14:textId="75DAE7E1" w:rsidR="004C0BE0" w:rsidRPr="00166D67" w:rsidRDefault="00A324C3" w:rsidP="004C0BE0">
            <w:pPr>
              <w:jc w:val="left"/>
              <w:rPr>
                <w:sz w:val="17"/>
                <w:szCs w:val="17"/>
              </w:rPr>
            </w:pPr>
            <w:hyperlink r:id="rId120" w:history="1">
              <w:r w:rsidR="004C0BE0" w:rsidRPr="00166D67">
                <w:rPr>
                  <w:rStyle w:val="Hyperlink"/>
                  <w:sz w:val="17"/>
                  <w:szCs w:val="17"/>
                </w:rPr>
                <w:t>COVID-19: Payments in focus</w:t>
              </w:r>
            </w:hyperlink>
          </w:p>
        </w:tc>
        <w:tc>
          <w:tcPr>
            <w:tcW w:w="2155" w:type="dxa"/>
          </w:tcPr>
          <w:p w14:paraId="34E858A5" w14:textId="77777777" w:rsidR="004C0BE0" w:rsidRPr="00166D67" w:rsidRDefault="004C0BE0" w:rsidP="004C0BE0">
            <w:pPr>
              <w:jc w:val="left"/>
              <w:rPr>
                <w:sz w:val="17"/>
                <w:szCs w:val="17"/>
              </w:rPr>
            </w:pPr>
            <w:r w:rsidRPr="00166D67">
              <w:rPr>
                <w:sz w:val="17"/>
                <w:szCs w:val="17"/>
              </w:rPr>
              <w:t>Credit Institutions</w:t>
            </w:r>
          </w:p>
          <w:p w14:paraId="46BD8CB1" w14:textId="77777777" w:rsidR="004C0BE0" w:rsidRPr="00166D67" w:rsidRDefault="004C0BE0" w:rsidP="004C0BE0">
            <w:pPr>
              <w:jc w:val="left"/>
              <w:rPr>
                <w:sz w:val="17"/>
                <w:szCs w:val="17"/>
              </w:rPr>
            </w:pPr>
          </w:p>
          <w:p w14:paraId="617E5B40" w14:textId="043300CA" w:rsidR="004C0BE0" w:rsidRPr="00166D67" w:rsidRDefault="004C0BE0" w:rsidP="004C0BE0">
            <w:pPr>
              <w:jc w:val="left"/>
              <w:rPr>
                <w:sz w:val="17"/>
                <w:szCs w:val="17"/>
              </w:rPr>
            </w:pPr>
            <w:r w:rsidRPr="00166D67">
              <w:rPr>
                <w:sz w:val="17"/>
                <w:szCs w:val="17"/>
              </w:rPr>
              <w:t>Payment Institutions</w:t>
            </w:r>
          </w:p>
        </w:tc>
        <w:tc>
          <w:tcPr>
            <w:tcW w:w="5523" w:type="dxa"/>
          </w:tcPr>
          <w:p w14:paraId="396D722D" w14:textId="77777777" w:rsidR="004C0BE0" w:rsidRPr="00166D67" w:rsidRDefault="004C0BE0" w:rsidP="004C0BE0">
            <w:pPr>
              <w:jc w:val="left"/>
              <w:rPr>
                <w:sz w:val="17"/>
                <w:szCs w:val="17"/>
              </w:rPr>
            </w:pPr>
            <w:r w:rsidRPr="00166D67">
              <w:rPr>
                <w:sz w:val="17"/>
                <w:szCs w:val="17"/>
              </w:rPr>
              <w:t xml:space="preserve">The EBA stressed </w:t>
            </w:r>
            <w:r w:rsidRPr="00166D67">
              <w:rPr>
                <w:b/>
                <w:sz w:val="17"/>
                <w:szCs w:val="17"/>
              </w:rPr>
              <w:t>that no such flexibility can be expected in banks' approach to consumer protection standards</w:t>
            </w:r>
            <w:r w:rsidRPr="00166D67">
              <w:rPr>
                <w:sz w:val="17"/>
                <w:szCs w:val="17"/>
              </w:rPr>
              <w:t xml:space="preserve">. Consumers must fully understand the implications of any new measure banks introduce. New measures must not come with hidden charges and may not automatically adversely impact the customer's credit rating. </w:t>
            </w:r>
          </w:p>
          <w:p w14:paraId="477F8BC7" w14:textId="36C2076F" w:rsidR="004C0BE0" w:rsidRPr="00166D67" w:rsidRDefault="004C0BE0" w:rsidP="004C0BE0">
            <w:pPr>
              <w:jc w:val="left"/>
              <w:rPr>
                <w:sz w:val="17"/>
                <w:szCs w:val="17"/>
              </w:rPr>
            </w:pPr>
            <w:r w:rsidRPr="00166D67">
              <w:rPr>
                <w:sz w:val="17"/>
                <w:szCs w:val="17"/>
              </w:rPr>
              <w:t xml:space="preserve">The EBA also called on </w:t>
            </w:r>
            <w:r w:rsidRPr="00166D67">
              <w:rPr>
                <w:b/>
                <w:sz w:val="17"/>
                <w:szCs w:val="17"/>
              </w:rPr>
              <w:t>payment service providers to make available contactless payments up to €50</w:t>
            </w:r>
            <w:r w:rsidRPr="00166D67">
              <w:rPr>
                <w:sz w:val="17"/>
                <w:szCs w:val="17"/>
              </w:rPr>
              <w:t xml:space="preserve"> and encouraged consumers and merchants to implement sanitary measures and consider all available payment options, including contactless and remote payments.</w:t>
            </w:r>
          </w:p>
        </w:tc>
      </w:tr>
      <w:tr w:rsidR="004C0BE0" w:rsidRPr="00166D67" w14:paraId="420018F5" w14:textId="77777777" w:rsidTr="001701F9">
        <w:trPr>
          <w:cantSplit/>
        </w:trPr>
        <w:tc>
          <w:tcPr>
            <w:tcW w:w="1097" w:type="dxa"/>
          </w:tcPr>
          <w:p w14:paraId="392916A4" w14:textId="77777777" w:rsidR="004C0BE0" w:rsidRPr="007F1827" w:rsidRDefault="004C0BE0" w:rsidP="004C0BE0">
            <w:pPr>
              <w:jc w:val="left"/>
              <w:rPr>
                <w:b/>
                <w:sz w:val="17"/>
                <w:szCs w:val="17"/>
              </w:rPr>
            </w:pPr>
            <w:r w:rsidRPr="007F1827">
              <w:rPr>
                <w:b/>
                <w:sz w:val="17"/>
                <w:szCs w:val="17"/>
              </w:rPr>
              <w:t>31 March 2020</w:t>
            </w:r>
          </w:p>
        </w:tc>
        <w:tc>
          <w:tcPr>
            <w:tcW w:w="1880" w:type="dxa"/>
          </w:tcPr>
          <w:p w14:paraId="7856712F" w14:textId="02637104" w:rsidR="004C0BE0" w:rsidRPr="00166D67" w:rsidRDefault="00A324C3" w:rsidP="004C0BE0">
            <w:pPr>
              <w:jc w:val="left"/>
              <w:rPr>
                <w:sz w:val="17"/>
                <w:szCs w:val="17"/>
              </w:rPr>
            </w:pPr>
            <w:hyperlink r:id="rId121" w:history="1">
              <w:r w:rsidR="004C0BE0" w:rsidRPr="00166D67">
                <w:rPr>
                  <w:rStyle w:val="Hyperlink"/>
                  <w:sz w:val="17"/>
                  <w:szCs w:val="17"/>
                </w:rPr>
                <w:t>Statement on supervisory reporting and Pillar 3 disclosures in light of COVID-19</w:t>
              </w:r>
            </w:hyperlink>
            <w:hyperlink r:id="rId122" w:history="1"/>
          </w:p>
        </w:tc>
        <w:tc>
          <w:tcPr>
            <w:tcW w:w="1819" w:type="dxa"/>
          </w:tcPr>
          <w:p w14:paraId="27410F96" w14:textId="77777777" w:rsidR="004C0BE0" w:rsidRPr="00166D67" w:rsidRDefault="004C0BE0" w:rsidP="004C0BE0">
            <w:pPr>
              <w:jc w:val="left"/>
              <w:rPr>
                <w:sz w:val="17"/>
                <w:szCs w:val="17"/>
              </w:rPr>
            </w:pPr>
          </w:p>
        </w:tc>
        <w:tc>
          <w:tcPr>
            <w:tcW w:w="2155" w:type="dxa"/>
          </w:tcPr>
          <w:p w14:paraId="05FFBC8C" w14:textId="147329C1" w:rsidR="004C0BE0" w:rsidRPr="00166D67" w:rsidRDefault="004C0BE0" w:rsidP="004C0BE0">
            <w:pPr>
              <w:jc w:val="left"/>
              <w:rPr>
                <w:sz w:val="17"/>
                <w:szCs w:val="17"/>
              </w:rPr>
            </w:pPr>
            <w:r w:rsidRPr="00166D67">
              <w:rPr>
                <w:sz w:val="17"/>
                <w:szCs w:val="17"/>
              </w:rPr>
              <w:t>Credit Institutions</w:t>
            </w:r>
          </w:p>
        </w:tc>
        <w:tc>
          <w:tcPr>
            <w:tcW w:w="5523" w:type="dxa"/>
          </w:tcPr>
          <w:p w14:paraId="34086B10" w14:textId="178F5E1B" w:rsidR="004C0BE0" w:rsidRPr="00166D67" w:rsidRDefault="004C0BE0" w:rsidP="004C0BE0">
            <w:pPr>
              <w:jc w:val="left"/>
              <w:rPr>
                <w:sz w:val="17"/>
                <w:szCs w:val="17"/>
              </w:rPr>
            </w:pPr>
            <w:r w:rsidRPr="00166D67">
              <w:rPr>
                <w:sz w:val="17"/>
                <w:szCs w:val="17"/>
              </w:rPr>
              <w:t xml:space="preserve">The EBA stated that it expects NCAs to allow </w:t>
            </w:r>
            <w:r w:rsidRPr="00166D67">
              <w:rPr>
                <w:b/>
                <w:sz w:val="17"/>
                <w:szCs w:val="17"/>
              </w:rPr>
              <w:t>one additional month for submitting most supervisory data</w:t>
            </w:r>
            <w:r w:rsidRPr="00166D67">
              <w:rPr>
                <w:sz w:val="17"/>
                <w:szCs w:val="17"/>
              </w:rPr>
              <w:t xml:space="preserve"> due between March and the end of May 2020. NCAs are also expected to give leeway in their supervision of deadlines for Pillar 3 disclosures. However, institutions are expected to submit information on </w:t>
            </w:r>
            <w:r w:rsidRPr="00166D67">
              <w:rPr>
                <w:b/>
                <w:sz w:val="17"/>
                <w:szCs w:val="17"/>
              </w:rPr>
              <w:t>capital, risks, liquidity and essential data for resolution planning in accordance with normal deadlines</w:t>
            </w:r>
            <w:r w:rsidRPr="00166D67">
              <w:rPr>
                <w:sz w:val="17"/>
                <w:szCs w:val="17"/>
              </w:rPr>
              <w:t xml:space="preserve">. </w:t>
            </w:r>
          </w:p>
        </w:tc>
      </w:tr>
      <w:tr w:rsidR="004C0BE0" w:rsidRPr="00166D67" w14:paraId="155C756D" w14:textId="77777777" w:rsidTr="001701F9">
        <w:trPr>
          <w:cantSplit/>
        </w:trPr>
        <w:tc>
          <w:tcPr>
            <w:tcW w:w="1097" w:type="dxa"/>
          </w:tcPr>
          <w:p w14:paraId="40225332" w14:textId="227AD8D9" w:rsidR="004C0BE0" w:rsidRPr="007F1827" w:rsidRDefault="004C0BE0" w:rsidP="004C0BE0">
            <w:pPr>
              <w:jc w:val="left"/>
              <w:rPr>
                <w:b/>
                <w:sz w:val="17"/>
                <w:szCs w:val="17"/>
              </w:rPr>
            </w:pPr>
            <w:r w:rsidRPr="007F1827">
              <w:rPr>
                <w:b/>
                <w:sz w:val="17"/>
                <w:szCs w:val="17"/>
              </w:rPr>
              <w:t>31 March 2020</w:t>
            </w:r>
          </w:p>
        </w:tc>
        <w:tc>
          <w:tcPr>
            <w:tcW w:w="1880" w:type="dxa"/>
          </w:tcPr>
          <w:p w14:paraId="7FDE73D6" w14:textId="640CD015" w:rsidR="004C0BE0" w:rsidRPr="00166D67" w:rsidRDefault="00A324C3" w:rsidP="004C0BE0">
            <w:pPr>
              <w:jc w:val="left"/>
              <w:rPr>
                <w:sz w:val="17"/>
                <w:szCs w:val="17"/>
              </w:rPr>
            </w:pPr>
            <w:hyperlink r:id="rId123" w:history="1">
              <w:r w:rsidR="004C0BE0" w:rsidRPr="00166D67">
                <w:rPr>
                  <w:rStyle w:val="Hyperlink"/>
                  <w:sz w:val="17"/>
                  <w:szCs w:val="17"/>
                </w:rPr>
                <w:t>Statement on dividends distribution, share buybacks and variable remuneration</w:t>
              </w:r>
            </w:hyperlink>
          </w:p>
        </w:tc>
        <w:tc>
          <w:tcPr>
            <w:tcW w:w="1819" w:type="dxa"/>
          </w:tcPr>
          <w:p w14:paraId="140ECE4F" w14:textId="77777777" w:rsidR="004C0BE0" w:rsidRPr="00166D67" w:rsidRDefault="004C0BE0" w:rsidP="004C0BE0">
            <w:pPr>
              <w:jc w:val="left"/>
              <w:rPr>
                <w:sz w:val="17"/>
                <w:szCs w:val="17"/>
              </w:rPr>
            </w:pPr>
          </w:p>
        </w:tc>
        <w:tc>
          <w:tcPr>
            <w:tcW w:w="2155" w:type="dxa"/>
          </w:tcPr>
          <w:p w14:paraId="170D6007" w14:textId="02FC876F" w:rsidR="004C0BE0" w:rsidRPr="00166D67" w:rsidRDefault="004C0BE0" w:rsidP="004C0BE0">
            <w:pPr>
              <w:jc w:val="left"/>
              <w:rPr>
                <w:sz w:val="17"/>
                <w:szCs w:val="17"/>
              </w:rPr>
            </w:pPr>
            <w:r w:rsidRPr="00166D67">
              <w:rPr>
                <w:sz w:val="17"/>
                <w:szCs w:val="17"/>
              </w:rPr>
              <w:t>Credit Institutions</w:t>
            </w:r>
          </w:p>
        </w:tc>
        <w:tc>
          <w:tcPr>
            <w:tcW w:w="5523" w:type="dxa"/>
          </w:tcPr>
          <w:p w14:paraId="7729B046" w14:textId="7424B4B9" w:rsidR="004C0BE0" w:rsidRPr="00166D67" w:rsidRDefault="004C0BE0" w:rsidP="004C0BE0">
            <w:pPr>
              <w:jc w:val="left"/>
              <w:rPr>
                <w:sz w:val="17"/>
                <w:szCs w:val="17"/>
              </w:rPr>
            </w:pPr>
            <w:r w:rsidRPr="00166D67">
              <w:rPr>
                <w:sz w:val="17"/>
                <w:szCs w:val="17"/>
              </w:rPr>
              <w:t xml:space="preserve">The EBA has urged all banks to </w:t>
            </w:r>
            <w:r w:rsidRPr="00166D67">
              <w:rPr>
                <w:b/>
                <w:sz w:val="17"/>
                <w:szCs w:val="17"/>
              </w:rPr>
              <w:t>refrain from dividends distribution or share buybacks</w:t>
            </w:r>
            <w:r w:rsidRPr="00166D67">
              <w:rPr>
                <w:sz w:val="17"/>
                <w:szCs w:val="17"/>
              </w:rPr>
              <w:t xml:space="preserve"> for the purpose of remunerating shareholders. Additionally, </w:t>
            </w:r>
            <w:r w:rsidRPr="00166D67">
              <w:rPr>
                <w:b/>
                <w:sz w:val="17"/>
                <w:szCs w:val="17"/>
              </w:rPr>
              <w:t>NCAs are encouraged to request banks to review their remuneration policies and practices</w:t>
            </w:r>
            <w:r w:rsidRPr="00166D67">
              <w:rPr>
                <w:sz w:val="17"/>
                <w:szCs w:val="17"/>
              </w:rPr>
              <w:t xml:space="preserve"> to ensure they promote sound risk management reflecting the current economic situation. </w:t>
            </w:r>
          </w:p>
        </w:tc>
      </w:tr>
      <w:tr w:rsidR="004C0BE0" w:rsidRPr="00166D67" w14:paraId="52F9F3C4" w14:textId="77777777" w:rsidTr="001701F9">
        <w:trPr>
          <w:cantSplit/>
        </w:trPr>
        <w:tc>
          <w:tcPr>
            <w:tcW w:w="1097" w:type="dxa"/>
          </w:tcPr>
          <w:p w14:paraId="30EBB009" w14:textId="5DDDB088" w:rsidR="004C0BE0" w:rsidRPr="007F1827" w:rsidRDefault="004C0BE0" w:rsidP="004C0BE0">
            <w:pPr>
              <w:jc w:val="left"/>
              <w:rPr>
                <w:b/>
                <w:sz w:val="17"/>
                <w:szCs w:val="17"/>
              </w:rPr>
            </w:pPr>
            <w:r w:rsidRPr="007F1827">
              <w:rPr>
                <w:b/>
                <w:sz w:val="17"/>
                <w:szCs w:val="17"/>
              </w:rPr>
              <w:t>31 March 2020</w:t>
            </w:r>
          </w:p>
        </w:tc>
        <w:tc>
          <w:tcPr>
            <w:tcW w:w="1880" w:type="dxa"/>
          </w:tcPr>
          <w:p w14:paraId="5CCD29DA" w14:textId="55450720" w:rsidR="004C0BE0" w:rsidRPr="00166D67" w:rsidRDefault="00A324C3" w:rsidP="004C0BE0">
            <w:pPr>
              <w:jc w:val="left"/>
              <w:rPr>
                <w:sz w:val="17"/>
                <w:szCs w:val="17"/>
              </w:rPr>
            </w:pPr>
            <w:hyperlink r:id="rId124" w:history="1">
              <w:r w:rsidR="004C0BE0" w:rsidRPr="00166D67">
                <w:rPr>
                  <w:rStyle w:val="Hyperlink"/>
                  <w:sz w:val="17"/>
                  <w:szCs w:val="17"/>
                </w:rPr>
                <w:t>Statement on actions to mitigate financial crime risks in the COVID-19 pandemic</w:t>
              </w:r>
            </w:hyperlink>
          </w:p>
        </w:tc>
        <w:tc>
          <w:tcPr>
            <w:tcW w:w="1819" w:type="dxa"/>
          </w:tcPr>
          <w:p w14:paraId="45CB6F34" w14:textId="77777777" w:rsidR="004C0BE0" w:rsidRPr="00166D67" w:rsidRDefault="004C0BE0" w:rsidP="004C0BE0">
            <w:pPr>
              <w:jc w:val="left"/>
              <w:rPr>
                <w:sz w:val="17"/>
                <w:szCs w:val="17"/>
              </w:rPr>
            </w:pPr>
          </w:p>
        </w:tc>
        <w:tc>
          <w:tcPr>
            <w:tcW w:w="2155" w:type="dxa"/>
          </w:tcPr>
          <w:p w14:paraId="28760405" w14:textId="68635237" w:rsidR="004C0BE0" w:rsidRPr="00166D67" w:rsidRDefault="004C0BE0" w:rsidP="004C0BE0">
            <w:pPr>
              <w:jc w:val="left"/>
              <w:rPr>
                <w:sz w:val="17"/>
                <w:szCs w:val="17"/>
              </w:rPr>
            </w:pPr>
            <w:r w:rsidRPr="00166D67">
              <w:rPr>
                <w:sz w:val="17"/>
                <w:szCs w:val="17"/>
              </w:rPr>
              <w:t>All Regulated Financial Services Providers</w:t>
            </w:r>
          </w:p>
        </w:tc>
        <w:tc>
          <w:tcPr>
            <w:tcW w:w="5523" w:type="dxa"/>
          </w:tcPr>
          <w:p w14:paraId="5284FD65" w14:textId="6F890810" w:rsidR="004C0BE0" w:rsidRPr="00166D67" w:rsidRDefault="004C0BE0" w:rsidP="004C0BE0">
            <w:pPr>
              <w:jc w:val="left"/>
              <w:rPr>
                <w:sz w:val="17"/>
                <w:szCs w:val="17"/>
              </w:rPr>
            </w:pPr>
            <w:r w:rsidRPr="00166D67">
              <w:rPr>
                <w:sz w:val="17"/>
                <w:szCs w:val="17"/>
              </w:rPr>
              <w:t xml:space="preserve">The EBA has highlighted the </w:t>
            </w:r>
            <w:r w:rsidRPr="00166D67">
              <w:rPr>
                <w:b/>
                <w:sz w:val="17"/>
                <w:szCs w:val="17"/>
              </w:rPr>
              <w:t>increased risk of financial crime</w:t>
            </w:r>
            <w:r w:rsidRPr="00166D67">
              <w:rPr>
                <w:sz w:val="17"/>
                <w:szCs w:val="17"/>
              </w:rPr>
              <w:t xml:space="preserve"> occurring during the COVID-19 pandemic. NCAs are urged to ensure that </w:t>
            </w:r>
            <w:r w:rsidRPr="00166D67">
              <w:rPr>
                <w:b/>
                <w:sz w:val="17"/>
                <w:szCs w:val="17"/>
              </w:rPr>
              <w:t>financial institutions continue to monitor transactions</w:t>
            </w:r>
            <w:r w:rsidRPr="00166D67">
              <w:rPr>
                <w:sz w:val="17"/>
                <w:szCs w:val="17"/>
              </w:rPr>
              <w:t xml:space="preserve"> for any unusual or suspicious patterns in customer behaviour and financial flows. Financial institutions should </w:t>
            </w:r>
            <w:r w:rsidRPr="00166D67">
              <w:rPr>
                <w:b/>
                <w:sz w:val="17"/>
                <w:szCs w:val="17"/>
              </w:rPr>
              <w:t>establish risk-sensitive measures</w:t>
            </w:r>
            <w:r w:rsidRPr="00166D67">
              <w:rPr>
                <w:sz w:val="17"/>
                <w:szCs w:val="17"/>
              </w:rPr>
              <w:t xml:space="preserve"> to monitor financial flows from customers in sectors impacted by economic downturn and COVID-19 measures.</w:t>
            </w:r>
          </w:p>
        </w:tc>
      </w:tr>
      <w:tr w:rsidR="004C0BE0" w:rsidRPr="00166D67" w14:paraId="2F75BAD1" w14:textId="77777777" w:rsidTr="001701F9">
        <w:trPr>
          <w:cantSplit/>
        </w:trPr>
        <w:tc>
          <w:tcPr>
            <w:tcW w:w="1097" w:type="dxa"/>
          </w:tcPr>
          <w:p w14:paraId="18CA482C" w14:textId="77777777" w:rsidR="004C0BE0" w:rsidRPr="007F1827" w:rsidRDefault="004C0BE0" w:rsidP="004C0BE0">
            <w:pPr>
              <w:jc w:val="left"/>
              <w:rPr>
                <w:b/>
                <w:sz w:val="17"/>
                <w:szCs w:val="17"/>
              </w:rPr>
            </w:pPr>
            <w:r w:rsidRPr="007F1827">
              <w:rPr>
                <w:b/>
                <w:sz w:val="17"/>
                <w:szCs w:val="17"/>
              </w:rPr>
              <w:t>2 April 2020</w:t>
            </w:r>
          </w:p>
        </w:tc>
        <w:tc>
          <w:tcPr>
            <w:tcW w:w="1880" w:type="dxa"/>
          </w:tcPr>
          <w:p w14:paraId="233F794E" w14:textId="77777777" w:rsidR="004C0BE0" w:rsidRPr="00166D67" w:rsidRDefault="00A324C3" w:rsidP="004C0BE0">
            <w:pPr>
              <w:jc w:val="left"/>
              <w:rPr>
                <w:sz w:val="17"/>
                <w:szCs w:val="17"/>
              </w:rPr>
            </w:pPr>
            <w:hyperlink r:id="rId125" w:history="1">
              <w:r w:rsidR="004C0BE0" w:rsidRPr="00166D67">
                <w:rPr>
                  <w:rStyle w:val="Hyperlink"/>
                  <w:sz w:val="17"/>
                  <w:szCs w:val="17"/>
                </w:rPr>
                <w:t>EBA publishes Guidelines on treatment of public and private moratoria in light of COVID-19 measures</w:t>
              </w:r>
            </w:hyperlink>
          </w:p>
        </w:tc>
        <w:tc>
          <w:tcPr>
            <w:tcW w:w="1819" w:type="dxa"/>
          </w:tcPr>
          <w:p w14:paraId="551D7D73" w14:textId="03436616" w:rsidR="004C0BE0" w:rsidRPr="00166D67" w:rsidRDefault="00A324C3" w:rsidP="004C0BE0">
            <w:pPr>
              <w:jc w:val="left"/>
              <w:rPr>
                <w:sz w:val="17"/>
                <w:szCs w:val="17"/>
              </w:rPr>
            </w:pPr>
            <w:hyperlink r:id="rId126" w:history="1">
              <w:r w:rsidR="004C0BE0" w:rsidRPr="00166D67">
                <w:rPr>
                  <w:rStyle w:val="Hyperlink"/>
                  <w:sz w:val="17"/>
                  <w:szCs w:val="17"/>
                </w:rPr>
                <w:t>We're from the regulator and we're here to help: Bank regulatory responses to the COVID-19 crisis</w:t>
              </w:r>
            </w:hyperlink>
            <w:r w:rsidR="004C0BE0" w:rsidRPr="00166D67">
              <w:rPr>
                <w:sz w:val="17"/>
                <w:szCs w:val="17"/>
              </w:rPr>
              <w:t xml:space="preserve"> </w:t>
            </w:r>
          </w:p>
        </w:tc>
        <w:tc>
          <w:tcPr>
            <w:tcW w:w="2155" w:type="dxa"/>
          </w:tcPr>
          <w:p w14:paraId="676295FE" w14:textId="77777777" w:rsidR="004C0BE0" w:rsidRPr="00166D67" w:rsidRDefault="004C0BE0" w:rsidP="004C0BE0">
            <w:pPr>
              <w:jc w:val="left"/>
              <w:rPr>
                <w:sz w:val="17"/>
                <w:szCs w:val="17"/>
              </w:rPr>
            </w:pPr>
            <w:r w:rsidRPr="00166D67">
              <w:rPr>
                <w:sz w:val="17"/>
                <w:szCs w:val="17"/>
              </w:rPr>
              <w:t>Credit Institutions</w:t>
            </w:r>
          </w:p>
        </w:tc>
        <w:tc>
          <w:tcPr>
            <w:tcW w:w="5523" w:type="dxa"/>
          </w:tcPr>
          <w:p w14:paraId="4C211CB8" w14:textId="77777777" w:rsidR="004C0BE0" w:rsidRPr="00166D67" w:rsidRDefault="004C0BE0" w:rsidP="004C0BE0">
            <w:pPr>
              <w:jc w:val="left"/>
              <w:rPr>
                <w:sz w:val="17"/>
                <w:szCs w:val="17"/>
              </w:rPr>
            </w:pPr>
            <w:r w:rsidRPr="00166D67">
              <w:rPr>
                <w:sz w:val="17"/>
                <w:szCs w:val="17"/>
              </w:rPr>
              <w:t>The EBA published detailed Guidelines on the requirements for public and private moratoria in order to help avoid the unnecessary classification of exposures under the definition of forbearance or as defaulted under distressed restructuring.</w:t>
            </w:r>
          </w:p>
          <w:p w14:paraId="2D57AAD1" w14:textId="4B3F6287" w:rsidR="004C0BE0" w:rsidRPr="00166D67" w:rsidRDefault="004C0BE0" w:rsidP="004C0BE0">
            <w:pPr>
              <w:jc w:val="left"/>
              <w:rPr>
                <w:sz w:val="17"/>
                <w:szCs w:val="17"/>
              </w:rPr>
            </w:pPr>
            <w:r w:rsidRPr="00166D67">
              <w:rPr>
                <w:sz w:val="17"/>
                <w:szCs w:val="17"/>
              </w:rPr>
              <w:t xml:space="preserve">The Guidelines clarify that </w:t>
            </w:r>
            <w:r w:rsidRPr="00166D67">
              <w:rPr>
                <w:b/>
                <w:sz w:val="17"/>
                <w:szCs w:val="17"/>
              </w:rPr>
              <w:t>payment moratoria do not trigger forbearance classification and the assessment of distressed restructuring if they are based on the applicable national law or on an industry-wide or sector-wide private initiative agreed and applied broadly by relevant credit institutions</w:t>
            </w:r>
            <w:r w:rsidRPr="00166D67">
              <w:rPr>
                <w:sz w:val="17"/>
                <w:szCs w:val="17"/>
              </w:rPr>
              <w:t xml:space="preserve">. </w:t>
            </w:r>
          </w:p>
          <w:p w14:paraId="1740E3F4" w14:textId="5BDD0D56" w:rsidR="004C0BE0" w:rsidRPr="00166D67" w:rsidRDefault="004C0BE0" w:rsidP="004C0BE0">
            <w:pPr>
              <w:jc w:val="left"/>
              <w:rPr>
                <w:sz w:val="17"/>
                <w:szCs w:val="17"/>
              </w:rPr>
            </w:pPr>
            <w:r w:rsidRPr="00166D67">
              <w:rPr>
                <w:sz w:val="17"/>
                <w:szCs w:val="17"/>
              </w:rPr>
              <w:t xml:space="preserve">The Guidelines note that banks must </w:t>
            </w:r>
            <w:r w:rsidRPr="00166D67">
              <w:rPr>
                <w:b/>
                <w:sz w:val="17"/>
                <w:szCs w:val="17"/>
              </w:rPr>
              <w:t>continue to identify situations where borrowers may face longer-term financial difficulties and classify exposures in accordance with the existing regulation</w:t>
            </w:r>
            <w:r w:rsidRPr="00166D67">
              <w:rPr>
                <w:sz w:val="17"/>
                <w:szCs w:val="17"/>
              </w:rPr>
              <w:t>. The requirements to identify forborne exposures and defaulted obligors remain in place.</w:t>
            </w:r>
          </w:p>
        </w:tc>
      </w:tr>
      <w:tr w:rsidR="004C0BE0" w:rsidRPr="00166D67" w14:paraId="41E203D1" w14:textId="77777777" w:rsidTr="001701F9">
        <w:trPr>
          <w:cantSplit/>
        </w:trPr>
        <w:tc>
          <w:tcPr>
            <w:tcW w:w="1097" w:type="dxa"/>
          </w:tcPr>
          <w:p w14:paraId="7D831E82" w14:textId="2AFDE0D5" w:rsidR="004C0BE0" w:rsidRPr="007F1827" w:rsidRDefault="004C0BE0" w:rsidP="004C0BE0">
            <w:pPr>
              <w:jc w:val="left"/>
              <w:rPr>
                <w:b/>
                <w:sz w:val="17"/>
                <w:szCs w:val="17"/>
              </w:rPr>
            </w:pPr>
            <w:r w:rsidRPr="007F1827">
              <w:rPr>
                <w:b/>
                <w:sz w:val="17"/>
                <w:szCs w:val="17"/>
              </w:rPr>
              <w:t>14 April 2020</w:t>
            </w:r>
          </w:p>
        </w:tc>
        <w:tc>
          <w:tcPr>
            <w:tcW w:w="1880" w:type="dxa"/>
          </w:tcPr>
          <w:p w14:paraId="2A366EB1" w14:textId="5B8EA7A8" w:rsidR="004C0BE0" w:rsidRPr="00166D67" w:rsidRDefault="00A324C3" w:rsidP="004C0BE0">
            <w:pPr>
              <w:jc w:val="left"/>
              <w:rPr>
                <w:sz w:val="17"/>
                <w:szCs w:val="17"/>
              </w:rPr>
            </w:pPr>
            <w:hyperlink r:id="rId127" w:history="1">
              <w:r w:rsidR="004C0BE0" w:rsidRPr="00166D67">
                <w:rPr>
                  <w:rStyle w:val="Hyperlink"/>
                  <w:sz w:val="17"/>
                  <w:szCs w:val="17"/>
                </w:rPr>
                <w:t>EU banks sail through the Corona crisis with sound capital ratios</w:t>
              </w:r>
            </w:hyperlink>
          </w:p>
        </w:tc>
        <w:tc>
          <w:tcPr>
            <w:tcW w:w="1819" w:type="dxa"/>
          </w:tcPr>
          <w:p w14:paraId="054153BF" w14:textId="77777777" w:rsidR="004C0BE0" w:rsidRPr="00166D67" w:rsidRDefault="004C0BE0" w:rsidP="004C0BE0">
            <w:pPr>
              <w:jc w:val="left"/>
              <w:rPr>
                <w:sz w:val="17"/>
                <w:szCs w:val="17"/>
              </w:rPr>
            </w:pPr>
          </w:p>
        </w:tc>
        <w:tc>
          <w:tcPr>
            <w:tcW w:w="2155" w:type="dxa"/>
          </w:tcPr>
          <w:p w14:paraId="363678E4" w14:textId="39A08DA4" w:rsidR="004C0BE0" w:rsidRPr="00166D67" w:rsidRDefault="004C0BE0" w:rsidP="004C0BE0">
            <w:pPr>
              <w:jc w:val="left"/>
              <w:rPr>
                <w:sz w:val="17"/>
                <w:szCs w:val="17"/>
              </w:rPr>
            </w:pPr>
            <w:r w:rsidRPr="00166D67">
              <w:rPr>
                <w:sz w:val="17"/>
                <w:szCs w:val="17"/>
              </w:rPr>
              <w:t>Credit Institutions</w:t>
            </w:r>
          </w:p>
        </w:tc>
        <w:tc>
          <w:tcPr>
            <w:tcW w:w="5523" w:type="dxa"/>
          </w:tcPr>
          <w:p w14:paraId="62C886A3" w14:textId="72E7AE2C" w:rsidR="004C0BE0" w:rsidRPr="00166D67" w:rsidRDefault="004C0BE0" w:rsidP="004C0BE0">
            <w:pPr>
              <w:jc w:val="left"/>
              <w:rPr>
                <w:sz w:val="17"/>
                <w:szCs w:val="17"/>
              </w:rPr>
            </w:pPr>
            <w:r w:rsidRPr="00166D67">
              <w:rPr>
                <w:sz w:val="17"/>
                <w:szCs w:val="17"/>
              </w:rPr>
              <w:t xml:space="preserve">The EBA published its quarterly Risk Dashboard covering Q4 2019 and summarising the main risks facing EU banks. The EBA noted that strong capital positions, with the Common Equity Tier 1 capital ratio reaching 14.8%, should enable EU banks to withstand the anticipated economic impacts of the COVID-19 pandemic and to continue lending when it is most needed. The EBA also found that banks' ratio of non-performing loans declined from 2.9% to 2.7% and IFRS-9 reports indicated an improvement in asset quality. </w:t>
            </w:r>
          </w:p>
        </w:tc>
      </w:tr>
      <w:tr w:rsidR="004C0BE0" w:rsidRPr="00166D67" w14:paraId="7FF61D36" w14:textId="77777777" w:rsidTr="001701F9">
        <w:trPr>
          <w:cantSplit/>
          <w:trHeight w:val="58"/>
        </w:trPr>
        <w:tc>
          <w:tcPr>
            <w:tcW w:w="1097" w:type="dxa"/>
          </w:tcPr>
          <w:p w14:paraId="53D1AC41" w14:textId="72C797F1" w:rsidR="004C0BE0" w:rsidRPr="007F1827" w:rsidRDefault="004C0BE0" w:rsidP="004C0BE0">
            <w:pPr>
              <w:jc w:val="left"/>
              <w:rPr>
                <w:b/>
                <w:sz w:val="17"/>
                <w:szCs w:val="17"/>
              </w:rPr>
            </w:pPr>
            <w:r w:rsidRPr="007F1827">
              <w:rPr>
                <w:b/>
                <w:sz w:val="17"/>
                <w:szCs w:val="17"/>
              </w:rPr>
              <w:t>22 April 2020</w:t>
            </w:r>
          </w:p>
        </w:tc>
        <w:tc>
          <w:tcPr>
            <w:tcW w:w="1880" w:type="dxa"/>
          </w:tcPr>
          <w:p w14:paraId="2DCA0F8F" w14:textId="0C5F5398" w:rsidR="004C0BE0" w:rsidRPr="00166D67" w:rsidRDefault="00A324C3" w:rsidP="004C0BE0">
            <w:pPr>
              <w:jc w:val="left"/>
              <w:rPr>
                <w:color w:val="2CD5C4" w:themeColor="accent1"/>
                <w:sz w:val="17"/>
                <w:szCs w:val="17"/>
              </w:rPr>
            </w:pPr>
            <w:hyperlink r:id="rId128" w:history="1">
              <w:r w:rsidR="004C0BE0" w:rsidRPr="00166D67">
                <w:rPr>
                  <w:rStyle w:val="Hyperlink"/>
                  <w:color w:val="2CD5C4" w:themeColor="accent1"/>
                  <w:sz w:val="17"/>
                  <w:szCs w:val="17"/>
                  <w:shd w:val="clear" w:color="auto" w:fill="FFFFFF"/>
                </w:rPr>
                <w:t>EBA Statement on the application of the prudential framework on targeted aspects in the area of market risk in the COVID-19 pandemic</w:t>
              </w:r>
            </w:hyperlink>
          </w:p>
        </w:tc>
        <w:tc>
          <w:tcPr>
            <w:tcW w:w="1819" w:type="dxa"/>
          </w:tcPr>
          <w:p w14:paraId="3BC3A18A" w14:textId="7D9C6B17" w:rsidR="004C0BE0" w:rsidRPr="00166D67" w:rsidRDefault="00A324C3" w:rsidP="004C0BE0">
            <w:pPr>
              <w:jc w:val="left"/>
              <w:rPr>
                <w:sz w:val="17"/>
                <w:szCs w:val="17"/>
              </w:rPr>
            </w:pPr>
            <w:hyperlink r:id="rId129" w:history="1">
              <w:r w:rsidR="004C0BE0" w:rsidRPr="00166D67">
                <w:rPr>
                  <w:rStyle w:val="Hyperlink"/>
                  <w:sz w:val="17"/>
                  <w:szCs w:val="17"/>
                </w:rPr>
                <w:t>We're from the regulator and we're here to help: Bank regulatory responses to the COVID-19 crisis</w:t>
              </w:r>
            </w:hyperlink>
            <w:r w:rsidR="004C0BE0" w:rsidRPr="00166D67">
              <w:rPr>
                <w:sz w:val="17"/>
                <w:szCs w:val="17"/>
              </w:rPr>
              <w:t xml:space="preserve"> </w:t>
            </w:r>
          </w:p>
        </w:tc>
        <w:tc>
          <w:tcPr>
            <w:tcW w:w="2155" w:type="dxa"/>
          </w:tcPr>
          <w:p w14:paraId="5B18F4A3" w14:textId="67DBFD4E" w:rsidR="004C0BE0" w:rsidRPr="00166D67" w:rsidRDefault="004C0BE0" w:rsidP="004C0BE0">
            <w:pPr>
              <w:jc w:val="left"/>
              <w:rPr>
                <w:sz w:val="17"/>
                <w:szCs w:val="17"/>
              </w:rPr>
            </w:pPr>
            <w:r w:rsidRPr="00166D67">
              <w:rPr>
                <w:sz w:val="17"/>
                <w:szCs w:val="17"/>
              </w:rPr>
              <w:t xml:space="preserve">Credit Institutions </w:t>
            </w:r>
          </w:p>
        </w:tc>
        <w:tc>
          <w:tcPr>
            <w:tcW w:w="5523" w:type="dxa"/>
          </w:tcPr>
          <w:p w14:paraId="676DF252" w14:textId="6380FED1" w:rsidR="004C0BE0" w:rsidRPr="00166D67" w:rsidRDefault="004C0BE0" w:rsidP="004C0BE0">
            <w:pPr>
              <w:widowControl w:val="0"/>
              <w:jc w:val="left"/>
              <w:rPr>
                <w:sz w:val="17"/>
                <w:szCs w:val="17"/>
              </w:rPr>
            </w:pPr>
            <w:r w:rsidRPr="00166D67">
              <w:rPr>
                <w:sz w:val="17"/>
                <w:szCs w:val="17"/>
              </w:rPr>
              <w:t>The EBA statement complements other EBA statements to date and clarifies a number of issues on the prudential requirements for market risk. The statement addresses prudent valuation, reporting requirements under FRTB-SA, the implementation of phase V and VI of the Joint ESAs RTS on non-cleared OTC derivatives and back-testing breaches on IMA models.</w:t>
            </w:r>
          </w:p>
        </w:tc>
      </w:tr>
      <w:tr w:rsidR="004C0BE0" w:rsidRPr="00166D67" w14:paraId="42BC57C7" w14:textId="77777777" w:rsidTr="001701F9">
        <w:trPr>
          <w:cantSplit/>
        </w:trPr>
        <w:tc>
          <w:tcPr>
            <w:tcW w:w="1097" w:type="dxa"/>
          </w:tcPr>
          <w:p w14:paraId="3EFC601D" w14:textId="52B9B777" w:rsidR="004C0BE0" w:rsidRPr="007F1827" w:rsidRDefault="004C0BE0" w:rsidP="004C0BE0">
            <w:pPr>
              <w:jc w:val="left"/>
              <w:rPr>
                <w:b/>
                <w:sz w:val="17"/>
                <w:szCs w:val="17"/>
              </w:rPr>
            </w:pPr>
            <w:r w:rsidRPr="007F1827">
              <w:rPr>
                <w:b/>
                <w:sz w:val="17"/>
                <w:szCs w:val="17"/>
              </w:rPr>
              <w:t>22 April 2020</w:t>
            </w:r>
          </w:p>
        </w:tc>
        <w:tc>
          <w:tcPr>
            <w:tcW w:w="1880" w:type="dxa"/>
          </w:tcPr>
          <w:p w14:paraId="7300003D" w14:textId="39C021AE" w:rsidR="004C0BE0" w:rsidRPr="00166D67" w:rsidRDefault="00A324C3" w:rsidP="004C0BE0">
            <w:pPr>
              <w:jc w:val="left"/>
              <w:rPr>
                <w:sz w:val="17"/>
                <w:szCs w:val="17"/>
              </w:rPr>
            </w:pPr>
            <w:hyperlink r:id="rId130" w:history="1">
              <w:r w:rsidR="004C0BE0" w:rsidRPr="00166D67">
                <w:rPr>
                  <w:rStyle w:val="Hyperlink"/>
                  <w:color w:val="2CD5C4" w:themeColor="accent1"/>
                  <w:sz w:val="17"/>
                  <w:szCs w:val="17"/>
                  <w:shd w:val="clear" w:color="auto" w:fill="FFFFFF"/>
                </w:rPr>
                <w:t>EBA statement on additional supervisory measures in the COVID-19 pandemic</w:t>
              </w:r>
            </w:hyperlink>
          </w:p>
        </w:tc>
        <w:tc>
          <w:tcPr>
            <w:tcW w:w="1819" w:type="dxa"/>
          </w:tcPr>
          <w:p w14:paraId="62161DD8" w14:textId="4E6BB393" w:rsidR="004C0BE0" w:rsidRPr="00166D67" w:rsidRDefault="00A324C3" w:rsidP="004C0BE0">
            <w:pPr>
              <w:jc w:val="left"/>
              <w:rPr>
                <w:sz w:val="17"/>
                <w:szCs w:val="17"/>
              </w:rPr>
            </w:pPr>
            <w:hyperlink r:id="rId131" w:history="1">
              <w:r w:rsidR="004C0BE0" w:rsidRPr="00166D67">
                <w:rPr>
                  <w:rStyle w:val="Hyperlink"/>
                  <w:sz w:val="17"/>
                  <w:szCs w:val="17"/>
                </w:rPr>
                <w:t>We're from the regulator and we're here to help: Bank regulatory responses to the COVID-19 crisis</w:t>
              </w:r>
            </w:hyperlink>
            <w:r w:rsidR="004C0BE0" w:rsidRPr="00166D67">
              <w:rPr>
                <w:sz w:val="17"/>
                <w:szCs w:val="17"/>
              </w:rPr>
              <w:t xml:space="preserve"> </w:t>
            </w:r>
          </w:p>
        </w:tc>
        <w:tc>
          <w:tcPr>
            <w:tcW w:w="2155" w:type="dxa"/>
          </w:tcPr>
          <w:p w14:paraId="0583C0B6" w14:textId="1AD8D4B3" w:rsidR="004C0BE0" w:rsidRPr="00166D67" w:rsidRDefault="004C0BE0" w:rsidP="004C0BE0">
            <w:pPr>
              <w:jc w:val="left"/>
              <w:rPr>
                <w:sz w:val="17"/>
                <w:szCs w:val="17"/>
              </w:rPr>
            </w:pPr>
            <w:r w:rsidRPr="00166D67">
              <w:rPr>
                <w:sz w:val="17"/>
                <w:szCs w:val="17"/>
              </w:rPr>
              <w:t xml:space="preserve">Credit Institutions </w:t>
            </w:r>
          </w:p>
        </w:tc>
        <w:tc>
          <w:tcPr>
            <w:tcW w:w="5523" w:type="dxa"/>
          </w:tcPr>
          <w:p w14:paraId="2A84C668" w14:textId="0B648B42" w:rsidR="004C0BE0" w:rsidRPr="00166D67" w:rsidRDefault="004C0BE0" w:rsidP="004C0BE0">
            <w:pPr>
              <w:widowControl w:val="0"/>
              <w:jc w:val="left"/>
              <w:rPr>
                <w:sz w:val="17"/>
                <w:szCs w:val="17"/>
              </w:rPr>
            </w:pPr>
            <w:r w:rsidRPr="00166D67">
              <w:rPr>
                <w:sz w:val="17"/>
                <w:szCs w:val="17"/>
              </w:rPr>
              <w:t xml:space="preserve">This lengthy statement outlines the supervisory measures the EBA has taken in response to COVID-19. The statement also specifies additional flexibility and relief measures in supervisory areas. </w:t>
            </w:r>
          </w:p>
        </w:tc>
      </w:tr>
      <w:tr w:rsidR="004C0BE0" w:rsidRPr="00166D67" w14:paraId="532F3318" w14:textId="77777777" w:rsidTr="001701F9">
        <w:trPr>
          <w:cantSplit/>
        </w:trPr>
        <w:tc>
          <w:tcPr>
            <w:tcW w:w="1097" w:type="dxa"/>
          </w:tcPr>
          <w:p w14:paraId="20B144D9" w14:textId="2B3F073E" w:rsidR="004C0BE0" w:rsidRPr="007F1827" w:rsidRDefault="004C0BE0" w:rsidP="004C0BE0">
            <w:pPr>
              <w:jc w:val="left"/>
              <w:rPr>
                <w:b/>
                <w:sz w:val="17"/>
                <w:szCs w:val="17"/>
                <w:lang w:val="en-US"/>
              </w:rPr>
            </w:pPr>
            <w:r w:rsidRPr="007F1827">
              <w:rPr>
                <w:b/>
                <w:sz w:val="17"/>
                <w:szCs w:val="17"/>
              </w:rPr>
              <w:t>22 April 2020</w:t>
            </w:r>
          </w:p>
        </w:tc>
        <w:tc>
          <w:tcPr>
            <w:tcW w:w="1880" w:type="dxa"/>
          </w:tcPr>
          <w:p w14:paraId="4BAB07F5" w14:textId="2C05AC11" w:rsidR="004C0BE0" w:rsidRPr="00166D67" w:rsidRDefault="00A324C3" w:rsidP="004C0BE0">
            <w:pPr>
              <w:jc w:val="left"/>
              <w:rPr>
                <w:sz w:val="17"/>
                <w:szCs w:val="17"/>
              </w:rPr>
            </w:pPr>
            <w:hyperlink r:id="rId132" w:history="1">
              <w:r w:rsidR="004C0BE0" w:rsidRPr="00166D67">
                <w:rPr>
                  <w:rStyle w:val="Hyperlink"/>
                  <w:color w:val="2CD5C4" w:themeColor="accent1"/>
                  <w:sz w:val="17"/>
                  <w:szCs w:val="17"/>
                  <w:shd w:val="clear" w:color="auto" w:fill="FFFFFF"/>
                </w:rPr>
                <w:t>Amending RTS on prudent valuation</w:t>
              </w:r>
            </w:hyperlink>
          </w:p>
        </w:tc>
        <w:tc>
          <w:tcPr>
            <w:tcW w:w="1819" w:type="dxa"/>
          </w:tcPr>
          <w:p w14:paraId="7B5D14A6" w14:textId="77777777" w:rsidR="004C0BE0" w:rsidRPr="00166D67" w:rsidRDefault="004C0BE0" w:rsidP="004C0BE0">
            <w:pPr>
              <w:jc w:val="left"/>
              <w:rPr>
                <w:sz w:val="17"/>
                <w:szCs w:val="17"/>
              </w:rPr>
            </w:pPr>
          </w:p>
        </w:tc>
        <w:tc>
          <w:tcPr>
            <w:tcW w:w="2155" w:type="dxa"/>
          </w:tcPr>
          <w:p w14:paraId="3CEE0B8E" w14:textId="70A6DA25" w:rsidR="004C0BE0" w:rsidRPr="00166D67" w:rsidRDefault="004C0BE0" w:rsidP="004C0BE0">
            <w:pPr>
              <w:jc w:val="left"/>
              <w:rPr>
                <w:sz w:val="17"/>
                <w:szCs w:val="17"/>
              </w:rPr>
            </w:pPr>
            <w:r w:rsidRPr="00166D67">
              <w:rPr>
                <w:sz w:val="17"/>
                <w:szCs w:val="17"/>
              </w:rPr>
              <w:t xml:space="preserve">Credit Institutions </w:t>
            </w:r>
          </w:p>
        </w:tc>
        <w:tc>
          <w:tcPr>
            <w:tcW w:w="5523" w:type="dxa"/>
          </w:tcPr>
          <w:p w14:paraId="133E2C1E" w14:textId="4C0BB2B4" w:rsidR="004C0BE0" w:rsidRPr="00166D67" w:rsidRDefault="004C0BE0" w:rsidP="004C0BE0">
            <w:pPr>
              <w:jc w:val="left"/>
              <w:rPr>
                <w:sz w:val="17"/>
                <w:szCs w:val="17"/>
              </w:rPr>
            </w:pPr>
            <w:r w:rsidRPr="00166D67">
              <w:rPr>
                <w:sz w:val="17"/>
                <w:szCs w:val="17"/>
              </w:rPr>
              <w:t>The Regulatory Technical Standards on prudent valuation under Article 105(14) of CRR have been updated from the versions published in 2014 and 2016. This RTS however addresses the extreme volatility caused by the COVID-19 pandemic.</w:t>
            </w:r>
          </w:p>
        </w:tc>
      </w:tr>
      <w:tr w:rsidR="004C0BE0" w:rsidRPr="00166D67" w14:paraId="0317D95B" w14:textId="77777777" w:rsidTr="001701F9">
        <w:trPr>
          <w:cantSplit/>
        </w:trPr>
        <w:tc>
          <w:tcPr>
            <w:tcW w:w="1097" w:type="dxa"/>
          </w:tcPr>
          <w:p w14:paraId="54C80266" w14:textId="28698729" w:rsidR="004C0BE0" w:rsidRPr="007F1827" w:rsidRDefault="004C0BE0" w:rsidP="004C0BE0">
            <w:pPr>
              <w:jc w:val="left"/>
              <w:rPr>
                <w:b/>
                <w:sz w:val="17"/>
                <w:szCs w:val="17"/>
              </w:rPr>
            </w:pPr>
            <w:r w:rsidRPr="007F1827">
              <w:rPr>
                <w:rFonts w:asciiTheme="majorHAnsi" w:hAnsiTheme="majorHAnsi" w:cstheme="majorHAnsi"/>
                <w:b/>
                <w:sz w:val="17"/>
                <w:szCs w:val="17"/>
              </w:rPr>
              <w:t>4 May 2020</w:t>
            </w:r>
          </w:p>
        </w:tc>
        <w:tc>
          <w:tcPr>
            <w:tcW w:w="1880" w:type="dxa"/>
          </w:tcPr>
          <w:p w14:paraId="1810E55D" w14:textId="7372E6F7" w:rsidR="004C0BE0" w:rsidRPr="00166D67" w:rsidRDefault="00A324C3" w:rsidP="004C0BE0">
            <w:pPr>
              <w:jc w:val="left"/>
              <w:rPr>
                <w:sz w:val="17"/>
                <w:szCs w:val="17"/>
              </w:rPr>
            </w:pPr>
            <w:hyperlink r:id="rId133" w:history="1">
              <w:r w:rsidR="004C0BE0" w:rsidRPr="00166D67">
                <w:rPr>
                  <w:rStyle w:val="Hyperlink"/>
                  <w:rFonts w:asciiTheme="majorHAnsi" w:hAnsiTheme="majorHAnsi" w:cstheme="majorHAnsi"/>
                  <w:color w:val="2CD5C4" w:themeColor="accent1"/>
                  <w:sz w:val="17"/>
                  <w:szCs w:val="17"/>
                  <w:shd w:val="clear" w:color="auto" w:fill="FFFFFF"/>
                </w:rPr>
                <w:t>Joint RTS on amendments to the bilateral margin requirements under EMIR in response to the COVID-19 outbreak</w:t>
              </w:r>
            </w:hyperlink>
          </w:p>
        </w:tc>
        <w:tc>
          <w:tcPr>
            <w:tcW w:w="1819" w:type="dxa"/>
          </w:tcPr>
          <w:p w14:paraId="5B3BE040" w14:textId="77777777" w:rsidR="004C0BE0" w:rsidRPr="00166D67" w:rsidRDefault="004C0BE0" w:rsidP="004C0BE0">
            <w:pPr>
              <w:jc w:val="left"/>
              <w:rPr>
                <w:sz w:val="17"/>
                <w:szCs w:val="17"/>
              </w:rPr>
            </w:pPr>
          </w:p>
        </w:tc>
        <w:tc>
          <w:tcPr>
            <w:tcW w:w="2155" w:type="dxa"/>
          </w:tcPr>
          <w:p w14:paraId="2316CB52" w14:textId="1A137EFB" w:rsidR="004C0BE0" w:rsidRPr="00166D67" w:rsidRDefault="004C0BE0" w:rsidP="004C0BE0">
            <w:pPr>
              <w:jc w:val="left"/>
              <w:rPr>
                <w:sz w:val="17"/>
                <w:szCs w:val="17"/>
              </w:rPr>
            </w:pPr>
            <w:r w:rsidRPr="00166D67">
              <w:rPr>
                <w:rFonts w:asciiTheme="majorHAnsi" w:hAnsiTheme="majorHAnsi" w:cstheme="majorHAnsi"/>
                <w:sz w:val="17"/>
                <w:szCs w:val="17"/>
              </w:rPr>
              <w:t>EMIR financial counterparties and NFC+s who enter into non centrally cleared physically settled FX forwards and swaps, intragroup contracts and equity options</w:t>
            </w:r>
          </w:p>
        </w:tc>
        <w:tc>
          <w:tcPr>
            <w:tcW w:w="5523" w:type="dxa"/>
          </w:tcPr>
          <w:p w14:paraId="78FB105D" w14:textId="77777777" w:rsidR="004C0BE0" w:rsidRPr="00166D67" w:rsidRDefault="004C0BE0" w:rsidP="004C0BE0">
            <w:pPr>
              <w:jc w:val="left"/>
              <w:rPr>
                <w:sz w:val="17"/>
                <w:szCs w:val="17"/>
              </w:rPr>
            </w:pPr>
            <w:r w:rsidRPr="00166D67">
              <w:rPr>
                <w:rFonts w:asciiTheme="majorHAnsi" w:hAnsiTheme="majorHAnsi" w:cstheme="majorHAnsi"/>
                <w:sz w:val="17"/>
                <w:szCs w:val="17"/>
              </w:rPr>
              <w:t>The European Supervisory Authorities have published joint draft Regulatory Technical Standards to provide for a one year deferral of the implementation phases of the bilateral margining requirements under EMIR.</w:t>
            </w:r>
          </w:p>
          <w:p w14:paraId="52AFADEE" w14:textId="77777777"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 xml:space="preserve">The Final Report on EMIR RTS amendments explains amendments needed to implement the BCBS and IOSCO recommendation to delay the implementation of bilateral margining requirements. </w:t>
            </w:r>
          </w:p>
          <w:p w14:paraId="38B05DE6" w14:textId="77777777" w:rsidR="004C0BE0" w:rsidRPr="00166D67" w:rsidRDefault="004C0BE0" w:rsidP="004C0BE0">
            <w:pPr>
              <w:jc w:val="left"/>
              <w:rPr>
                <w:rFonts w:asciiTheme="majorHAnsi" w:hAnsiTheme="majorHAnsi" w:cstheme="majorHAnsi"/>
                <w:sz w:val="17"/>
                <w:szCs w:val="17"/>
              </w:rPr>
            </w:pPr>
          </w:p>
          <w:p w14:paraId="3C82DAFC" w14:textId="7D4172E1" w:rsidR="004C0BE0" w:rsidRPr="00166D67" w:rsidRDefault="004C0BE0" w:rsidP="004C0BE0">
            <w:pPr>
              <w:jc w:val="left"/>
              <w:rPr>
                <w:sz w:val="17"/>
                <w:szCs w:val="17"/>
              </w:rPr>
            </w:pPr>
          </w:p>
        </w:tc>
      </w:tr>
      <w:tr w:rsidR="004C0BE0" w:rsidRPr="00166D67" w14:paraId="3824BACE" w14:textId="77777777" w:rsidTr="001701F9">
        <w:trPr>
          <w:cantSplit/>
        </w:trPr>
        <w:tc>
          <w:tcPr>
            <w:tcW w:w="1097" w:type="dxa"/>
          </w:tcPr>
          <w:p w14:paraId="69C07F5D" w14:textId="6A6A194C" w:rsidR="004C0BE0" w:rsidRPr="007F1827" w:rsidRDefault="004C0BE0" w:rsidP="004C0BE0">
            <w:pPr>
              <w:jc w:val="left"/>
              <w:rPr>
                <w:rFonts w:asciiTheme="majorHAnsi" w:hAnsiTheme="majorHAnsi" w:cstheme="majorHAnsi"/>
                <w:b/>
                <w:sz w:val="17"/>
                <w:szCs w:val="17"/>
              </w:rPr>
            </w:pPr>
            <w:r w:rsidRPr="007F1827">
              <w:rPr>
                <w:rFonts w:asciiTheme="majorHAnsi" w:hAnsiTheme="majorHAnsi" w:cstheme="majorHAnsi"/>
                <w:b/>
                <w:sz w:val="17"/>
                <w:szCs w:val="17"/>
              </w:rPr>
              <w:t>25 May 2020</w:t>
            </w:r>
          </w:p>
        </w:tc>
        <w:tc>
          <w:tcPr>
            <w:tcW w:w="1880" w:type="dxa"/>
          </w:tcPr>
          <w:p w14:paraId="18E3110B" w14:textId="15D8ABEC" w:rsidR="004C0BE0" w:rsidRPr="00166D67" w:rsidRDefault="00A324C3" w:rsidP="004C0BE0">
            <w:pPr>
              <w:jc w:val="left"/>
              <w:rPr>
                <w:sz w:val="17"/>
                <w:szCs w:val="17"/>
              </w:rPr>
            </w:pPr>
            <w:hyperlink r:id="rId134" w:history="1">
              <w:r w:rsidR="004C0BE0" w:rsidRPr="00166D67">
                <w:rPr>
                  <w:rStyle w:val="Hyperlink"/>
                  <w:sz w:val="17"/>
                  <w:szCs w:val="17"/>
                </w:rPr>
                <w:t>COVID-19 is placing unprecedented challenges on EU banks</w:t>
              </w:r>
            </w:hyperlink>
          </w:p>
        </w:tc>
        <w:tc>
          <w:tcPr>
            <w:tcW w:w="1819" w:type="dxa"/>
          </w:tcPr>
          <w:p w14:paraId="5A1188F1" w14:textId="77777777" w:rsidR="004C0BE0" w:rsidRPr="00166D67" w:rsidRDefault="004C0BE0" w:rsidP="004C0BE0">
            <w:pPr>
              <w:jc w:val="left"/>
              <w:rPr>
                <w:sz w:val="17"/>
                <w:szCs w:val="17"/>
              </w:rPr>
            </w:pPr>
          </w:p>
        </w:tc>
        <w:tc>
          <w:tcPr>
            <w:tcW w:w="2155" w:type="dxa"/>
          </w:tcPr>
          <w:p w14:paraId="6DBF7D5C" w14:textId="2795B91F"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Credit Institutions</w:t>
            </w:r>
          </w:p>
        </w:tc>
        <w:tc>
          <w:tcPr>
            <w:tcW w:w="5523" w:type="dxa"/>
          </w:tcPr>
          <w:p w14:paraId="36D97712" w14:textId="6F96B870"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 xml:space="preserve">This EBA statement relates to the impact of COVID-19 on the EU banking sector. The accompanying report outlines that European banks entered the crisis with strong capital and liquidity buffers, and had effective contingency plans, which helped them steer through the crisis. </w:t>
            </w:r>
          </w:p>
          <w:p w14:paraId="66391D45" w14:textId="3F86C972"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 xml:space="preserve">Banks' profitability and asset quality is expected to decline going forward. However, the accumulated capital, and capital relief provided by regulators amounts to </w:t>
            </w:r>
            <w:proofErr w:type="spellStart"/>
            <w:r w:rsidRPr="00166D67">
              <w:rPr>
                <w:rFonts w:asciiTheme="majorHAnsi" w:hAnsiTheme="majorHAnsi" w:cstheme="majorHAnsi"/>
                <w:sz w:val="17"/>
                <w:szCs w:val="17"/>
              </w:rPr>
              <w:t>on</w:t>
            </w:r>
            <w:proofErr w:type="spellEnd"/>
            <w:r w:rsidRPr="00166D67">
              <w:rPr>
                <w:rFonts w:asciiTheme="majorHAnsi" w:hAnsiTheme="majorHAnsi" w:cstheme="majorHAnsi"/>
                <w:sz w:val="17"/>
                <w:szCs w:val="17"/>
              </w:rPr>
              <w:t xml:space="preserve"> average 5 p.p. above their overall capital requirements. This should help banks withstand potential credit risk losses.</w:t>
            </w:r>
          </w:p>
        </w:tc>
      </w:tr>
      <w:tr w:rsidR="004C0BE0" w:rsidRPr="00166D67" w14:paraId="6A5D364C" w14:textId="77777777" w:rsidTr="001701F9">
        <w:trPr>
          <w:cantSplit/>
        </w:trPr>
        <w:tc>
          <w:tcPr>
            <w:tcW w:w="1097" w:type="dxa"/>
          </w:tcPr>
          <w:p w14:paraId="2A896BDA" w14:textId="61599BF8" w:rsidR="004C0BE0" w:rsidRPr="007F1827" w:rsidRDefault="004C0BE0" w:rsidP="004C0BE0">
            <w:pPr>
              <w:jc w:val="left"/>
              <w:rPr>
                <w:rFonts w:asciiTheme="majorHAnsi" w:hAnsiTheme="majorHAnsi" w:cstheme="majorHAnsi"/>
                <w:b/>
                <w:sz w:val="17"/>
                <w:szCs w:val="17"/>
              </w:rPr>
            </w:pPr>
            <w:r w:rsidRPr="007F1827">
              <w:rPr>
                <w:rFonts w:asciiTheme="majorHAnsi" w:hAnsiTheme="majorHAnsi" w:cstheme="majorHAnsi"/>
                <w:b/>
                <w:sz w:val="17"/>
                <w:szCs w:val="17"/>
              </w:rPr>
              <w:t>2 June 2020</w:t>
            </w:r>
          </w:p>
        </w:tc>
        <w:tc>
          <w:tcPr>
            <w:tcW w:w="1880" w:type="dxa"/>
          </w:tcPr>
          <w:p w14:paraId="74FB4815" w14:textId="5831AB5A" w:rsidR="004C0BE0" w:rsidRPr="00166D67" w:rsidRDefault="00A324C3" w:rsidP="004C0BE0">
            <w:pPr>
              <w:jc w:val="left"/>
              <w:rPr>
                <w:sz w:val="17"/>
                <w:szCs w:val="17"/>
              </w:rPr>
            </w:pPr>
            <w:hyperlink r:id="rId135" w:history="1">
              <w:r w:rsidR="004C0BE0" w:rsidRPr="00166D67">
                <w:rPr>
                  <w:rStyle w:val="Hyperlink"/>
                  <w:sz w:val="17"/>
                  <w:szCs w:val="17"/>
                </w:rPr>
                <w:t>EBA issues Guidelines to address gaps in reporting data and public information in the context of COVID-19</w:t>
              </w:r>
            </w:hyperlink>
            <w:r w:rsidR="004C0BE0" w:rsidRPr="00166D67">
              <w:rPr>
                <w:sz w:val="17"/>
                <w:szCs w:val="17"/>
              </w:rPr>
              <w:t xml:space="preserve"> </w:t>
            </w:r>
          </w:p>
        </w:tc>
        <w:tc>
          <w:tcPr>
            <w:tcW w:w="1819" w:type="dxa"/>
          </w:tcPr>
          <w:p w14:paraId="67094F2E" w14:textId="77777777" w:rsidR="004C0BE0" w:rsidRPr="00166D67" w:rsidRDefault="004C0BE0" w:rsidP="004C0BE0">
            <w:pPr>
              <w:jc w:val="left"/>
              <w:rPr>
                <w:sz w:val="17"/>
                <w:szCs w:val="17"/>
              </w:rPr>
            </w:pPr>
          </w:p>
        </w:tc>
        <w:tc>
          <w:tcPr>
            <w:tcW w:w="2155" w:type="dxa"/>
          </w:tcPr>
          <w:p w14:paraId="6B2F73CC" w14:textId="0CCEE001"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Credit Institutions</w:t>
            </w:r>
          </w:p>
        </w:tc>
        <w:tc>
          <w:tcPr>
            <w:tcW w:w="5523" w:type="dxa"/>
          </w:tcPr>
          <w:p w14:paraId="32837B61" w14:textId="30EAEF75"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This EBA statement relates to guidelines on reporting and disclosure of exposures subject to measures applied in response to the COVID-19 crisis. The guidelines were developed to address data gaps associated with measures taken because of the COVID-19 pandemic, including legislative moratoria on loan repayments. They ensure an appropriate understanding of institutions’ risk profiles and the asset quality on their balance sheets for both supervisors and the wider public.</w:t>
            </w:r>
          </w:p>
          <w:p w14:paraId="289B20DA" w14:textId="1153512E"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The first disclosure reference date is 30 June 2020. The reporting guidelines will be part of the version 2.10 reporting framework release, being published in June 2020</w:t>
            </w:r>
            <w:r w:rsidRPr="00166D67">
              <w:rPr>
                <w:rFonts w:asciiTheme="majorHAnsi" w:hAnsiTheme="majorHAnsi" w:cstheme="majorHAnsi"/>
                <w:sz w:val="17"/>
                <w:szCs w:val="17"/>
              </w:rPr>
              <w:tab/>
            </w:r>
          </w:p>
        </w:tc>
      </w:tr>
      <w:tr w:rsidR="004C0BE0" w:rsidRPr="00166D67" w14:paraId="5BEC6BBF" w14:textId="77777777" w:rsidTr="001701F9">
        <w:trPr>
          <w:cantSplit/>
        </w:trPr>
        <w:tc>
          <w:tcPr>
            <w:tcW w:w="1097" w:type="dxa"/>
          </w:tcPr>
          <w:p w14:paraId="1E6B018A" w14:textId="1BC11768" w:rsidR="004C0BE0" w:rsidRPr="007F1827" w:rsidRDefault="004C0BE0" w:rsidP="004C0BE0">
            <w:pPr>
              <w:jc w:val="left"/>
              <w:rPr>
                <w:rFonts w:asciiTheme="majorHAnsi" w:hAnsiTheme="majorHAnsi" w:cstheme="majorHAnsi"/>
                <w:b/>
                <w:sz w:val="17"/>
                <w:szCs w:val="17"/>
              </w:rPr>
            </w:pPr>
            <w:r w:rsidRPr="007F1827">
              <w:rPr>
                <w:rFonts w:asciiTheme="majorHAnsi" w:hAnsiTheme="majorHAnsi" w:cstheme="majorHAnsi"/>
                <w:b/>
                <w:sz w:val="17"/>
                <w:szCs w:val="17"/>
              </w:rPr>
              <w:t>8 June 2020</w:t>
            </w:r>
          </w:p>
        </w:tc>
        <w:tc>
          <w:tcPr>
            <w:tcW w:w="1880" w:type="dxa"/>
          </w:tcPr>
          <w:p w14:paraId="0A26CD5F" w14:textId="25756CDF" w:rsidR="004C0BE0" w:rsidRPr="00166D67" w:rsidRDefault="00A324C3" w:rsidP="004C0BE0">
            <w:pPr>
              <w:jc w:val="left"/>
              <w:rPr>
                <w:sz w:val="17"/>
                <w:szCs w:val="17"/>
              </w:rPr>
            </w:pPr>
            <w:hyperlink r:id="rId136" w:history="1">
              <w:r w:rsidR="004C0BE0" w:rsidRPr="00166D67">
                <w:rPr>
                  <w:rStyle w:val="Hyperlink"/>
                  <w:sz w:val="17"/>
                  <w:szCs w:val="17"/>
                </w:rPr>
                <w:t>EBA releases bank-by-bank data at the start of the COVID-19 crisis</w:t>
              </w:r>
            </w:hyperlink>
          </w:p>
        </w:tc>
        <w:tc>
          <w:tcPr>
            <w:tcW w:w="1819" w:type="dxa"/>
          </w:tcPr>
          <w:p w14:paraId="0DA17EDF" w14:textId="77777777" w:rsidR="004C0BE0" w:rsidRPr="00166D67" w:rsidRDefault="004C0BE0" w:rsidP="004C0BE0">
            <w:pPr>
              <w:jc w:val="left"/>
              <w:rPr>
                <w:sz w:val="17"/>
                <w:szCs w:val="17"/>
              </w:rPr>
            </w:pPr>
          </w:p>
        </w:tc>
        <w:tc>
          <w:tcPr>
            <w:tcW w:w="2155" w:type="dxa"/>
          </w:tcPr>
          <w:p w14:paraId="078CDDD3" w14:textId="668639DA"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Credit Institutions and Market Participants</w:t>
            </w:r>
          </w:p>
        </w:tc>
        <w:tc>
          <w:tcPr>
            <w:tcW w:w="5523" w:type="dxa"/>
          </w:tcPr>
          <w:p w14:paraId="42268C98" w14:textId="0E8C91BD"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The EBA made an additional data disclosure in response to the COVID-19 outbreak. The data release provides market participants with bank data as of 31 December 2019, before the start of the crisis. The data confirms that the EU banking sector held solid capital positions and improved asset quality, however the EBA notes significant dispersion across banks.</w:t>
            </w:r>
          </w:p>
        </w:tc>
      </w:tr>
      <w:tr w:rsidR="004C0BE0" w:rsidRPr="00166D67" w14:paraId="1F0941F6" w14:textId="77777777" w:rsidTr="001701F9">
        <w:trPr>
          <w:cantSplit/>
        </w:trPr>
        <w:tc>
          <w:tcPr>
            <w:tcW w:w="1097" w:type="dxa"/>
          </w:tcPr>
          <w:p w14:paraId="0461F0A9" w14:textId="528C713A" w:rsidR="004C0BE0" w:rsidRPr="007F1827" w:rsidRDefault="004C0BE0" w:rsidP="004C0BE0">
            <w:pPr>
              <w:jc w:val="left"/>
              <w:rPr>
                <w:rFonts w:asciiTheme="majorHAnsi" w:hAnsiTheme="majorHAnsi" w:cstheme="majorHAnsi"/>
                <w:b/>
                <w:sz w:val="17"/>
                <w:szCs w:val="17"/>
              </w:rPr>
            </w:pPr>
            <w:r w:rsidRPr="007F1827">
              <w:rPr>
                <w:rFonts w:asciiTheme="majorHAnsi" w:hAnsiTheme="majorHAnsi" w:cstheme="majorHAnsi"/>
                <w:b/>
                <w:sz w:val="17"/>
                <w:szCs w:val="17"/>
              </w:rPr>
              <w:t>18 June 2020</w:t>
            </w:r>
          </w:p>
        </w:tc>
        <w:tc>
          <w:tcPr>
            <w:tcW w:w="1880" w:type="dxa"/>
          </w:tcPr>
          <w:p w14:paraId="3C5A38F8" w14:textId="3397C3F0" w:rsidR="004C0BE0" w:rsidRPr="00166D67" w:rsidRDefault="00A324C3" w:rsidP="004C0BE0">
            <w:pPr>
              <w:jc w:val="left"/>
              <w:rPr>
                <w:sz w:val="17"/>
                <w:szCs w:val="17"/>
              </w:rPr>
            </w:pPr>
            <w:hyperlink r:id="rId137" w:history="1">
              <w:r w:rsidR="004C0BE0" w:rsidRPr="00166D67">
                <w:rPr>
                  <w:rStyle w:val="Hyperlink"/>
                  <w:sz w:val="17"/>
                  <w:szCs w:val="17"/>
                </w:rPr>
                <w:t>EBA extends deadline for the application of its Guidelines on payment moratoria to 30 September</w:t>
              </w:r>
            </w:hyperlink>
          </w:p>
        </w:tc>
        <w:tc>
          <w:tcPr>
            <w:tcW w:w="1819" w:type="dxa"/>
          </w:tcPr>
          <w:p w14:paraId="6C48570F" w14:textId="77777777" w:rsidR="004C0BE0" w:rsidRPr="00166D67" w:rsidRDefault="004C0BE0" w:rsidP="004C0BE0">
            <w:pPr>
              <w:jc w:val="left"/>
              <w:rPr>
                <w:sz w:val="17"/>
                <w:szCs w:val="17"/>
              </w:rPr>
            </w:pPr>
          </w:p>
        </w:tc>
        <w:tc>
          <w:tcPr>
            <w:tcW w:w="2155" w:type="dxa"/>
          </w:tcPr>
          <w:p w14:paraId="2E40D9E7" w14:textId="294E54AF"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Credit Institutions</w:t>
            </w:r>
          </w:p>
        </w:tc>
        <w:tc>
          <w:tcPr>
            <w:tcW w:w="5523" w:type="dxa"/>
          </w:tcPr>
          <w:p w14:paraId="08F44BB6" w14:textId="581A636F"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The EBA has extended the application date of its Guidelines on legislative and non-legislative moratoria to 30 September 2020. EU economies are not yet fully opened and the extension ensures adequate treatment for borrowers is available across the EU, as different countries have been affected by COVID-19 in different ways. It is an indicator of the need to provide sustained support to banks in relation to the measures they adopted to reduce the economic fallout of COVID-19.</w:t>
            </w:r>
          </w:p>
        </w:tc>
      </w:tr>
      <w:tr w:rsidR="004C0BE0" w:rsidRPr="00166D67" w14:paraId="340F6DA0" w14:textId="77777777" w:rsidTr="001701F9">
        <w:trPr>
          <w:cantSplit/>
        </w:trPr>
        <w:tc>
          <w:tcPr>
            <w:tcW w:w="1097" w:type="dxa"/>
          </w:tcPr>
          <w:p w14:paraId="3FF4E161" w14:textId="735C9C70" w:rsidR="004C0BE0" w:rsidRPr="007F1827" w:rsidRDefault="004C0BE0" w:rsidP="004C0BE0">
            <w:pPr>
              <w:jc w:val="left"/>
              <w:rPr>
                <w:rFonts w:asciiTheme="majorHAnsi" w:hAnsiTheme="majorHAnsi" w:cstheme="majorHAnsi"/>
                <w:b/>
                <w:sz w:val="17"/>
                <w:szCs w:val="17"/>
              </w:rPr>
            </w:pPr>
            <w:r w:rsidRPr="007F1827">
              <w:rPr>
                <w:rFonts w:asciiTheme="majorHAnsi" w:hAnsiTheme="majorHAnsi" w:cstheme="majorHAnsi"/>
                <w:b/>
                <w:sz w:val="17"/>
                <w:szCs w:val="17"/>
              </w:rPr>
              <w:t>6 July 2020</w:t>
            </w:r>
          </w:p>
        </w:tc>
        <w:tc>
          <w:tcPr>
            <w:tcW w:w="1880" w:type="dxa"/>
          </w:tcPr>
          <w:p w14:paraId="30770DB9" w14:textId="42980B15" w:rsidR="004C0BE0" w:rsidRPr="00166D67" w:rsidRDefault="004C0BE0" w:rsidP="004C0BE0">
            <w:pPr>
              <w:jc w:val="left"/>
              <w:rPr>
                <w:color w:val="2CD5C4" w:themeColor="accent1"/>
                <w:sz w:val="17"/>
                <w:szCs w:val="17"/>
              </w:rPr>
            </w:pPr>
            <w:r w:rsidRPr="00166D67">
              <w:rPr>
                <w:color w:val="2CD5C4" w:themeColor="accent1"/>
                <w:sz w:val="17"/>
                <w:szCs w:val="17"/>
              </w:rPr>
              <w:t xml:space="preserve">EBA </w:t>
            </w:r>
            <w:hyperlink r:id="rId138" w:history="1">
              <w:r w:rsidRPr="00166D67">
                <w:rPr>
                  <w:rStyle w:val="Hyperlink"/>
                  <w:color w:val="2CD5C4" w:themeColor="accent1"/>
                  <w:sz w:val="17"/>
                  <w:szCs w:val="17"/>
                </w:rPr>
                <w:t>publishes</w:t>
              </w:r>
            </w:hyperlink>
            <w:r w:rsidRPr="00166D67">
              <w:rPr>
                <w:color w:val="2CD5C4" w:themeColor="accent1"/>
                <w:sz w:val="17"/>
                <w:szCs w:val="17"/>
              </w:rPr>
              <w:t xml:space="preserve"> </w:t>
            </w:r>
            <w:hyperlink r:id="rId139" w:history="1">
              <w:r w:rsidRPr="00166D67">
                <w:rPr>
                  <w:rStyle w:val="Hyperlink"/>
                  <w:color w:val="2CD5C4" w:themeColor="accent1"/>
                  <w:sz w:val="17"/>
                  <w:szCs w:val="17"/>
                </w:rPr>
                <w:t>updated Guidelines on loan moratoria classification</w:t>
              </w:r>
            </w:hyperlink>
          </w:p>
        </w:tc>
        <w:tc>
          <w:tcPr>
            <w:tcW w:w="1819" w:type="dxa"/>
          </w:tcPr>
          <w:p w14:paraId="6256309F" w14:textId="77777777" w:rsidR="004C0BE0" w:rsidRPr="00166D67" w:rsidRDefault="004C0BE0" w:rsidP="004C0BE0">
            <w:pPr>
              <w:jc w:val="left"/>
              <w:rPr>
                <w:sz w:val="17"/>
                <w:szCs w:val="17"/>
              </w:rPr>
            </w:pPr>
          </w:p>
        </w:tc>
        <w:tc>
          <w:tcPr>
            <w:tcW w:w="2155" w:type="dxa"/>
          </w:tcPr>
          <w:p w14:paraId="1F94295E" w14:textId="0085C5C6"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Credit Institutions</w:t>
            </w:r>
          </w:p>
        </w:tc>
        <w:tc>
          <w:tcPr>
            <w:tcW w:w="5523" w:type="dxa"/>
          </w:tcPr>
          <w:p w14:paraId="2532D8A8" w14:textId="3A9A318D"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The EBA published detailed final Guidelines on the requirements for public and private moratoria in order to help avoid the unnecessary classification of exposures under the definition of forbearance or as defaulted under distressed restructuring. These Guidelines were first published on 2 April 2020 without public consultation due to the urgency of the COVID-19 pandemic situation.</w:t>
            </w:r>
          </w:p>
          <w:p w14:paraId="2AAE77FA" w14:textId="77777777" w:rsidR="004C0BE0" w:rsidRPr="00166D67" w:rsidRDefault="004C0BE0" w:rsidP="004C0BE0">
            <w:pPr>
              <w:jc w:val="left"/>
              <w:rPr>
                <w:rFonts w:asciiTheme="majorHAnsi" w:hAnsiTheme="majorHAnsi" w:cstheme="majorHAnsi"/>
                <w:b/>
                <w:sz w:val="17"/>
                <w:szCs w:val="17"/>
              </w:rPr>
            </w:pPr>
            <w:r w:rsidRPr="00166D67">
              <w:rPr>
                <w:rFonts w:asciiTheme="majorHAnsi" w:hAnsiTheme="majorHAnsi" w:cstheme="majorHAnsi"/>
                <w:sz w:val="17"/>
                <w:szCs w:val="17"/>
              </w:rPr>
              <w:t xml:space="preserve">The Guidelines clarify that </w:t>
            </w:r>
            <w:r w:rsidRPr="00166D67">
              <w:rPr>
                <w:rFonts w:asciiTheme="majorHAnsi" w:hAnsiTheme="majorHAnsi" w:cstheme="majorHAnsi"/>
                <w:b/>
                <w:sz w:val="17"/>
                <w:szCs w:val="17"/>
              </w:rPr>
              <w:t xml:space="preserve">payment moratoria do not trigger forbearance classification and the assessment of distressed restructuring if they are based on the applicable national law or on an industry-wide or sector-wide private initiative agreed and applied broadly by relevant credit institutions. </w:t>
            </w:r>
          </w:p>
          <w:p w14:paraId="1203BA51" w14:textId="023D8E96"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The Guidelines note that banks must continue to identify situations where borrowers may face longer-term financial difficulties and classify exposures in accordance with the existing regulation. The requirements to identify forborne exposures and defaulted obligors remain in place.</w:t>
            </w:r>
          </w:p>
        </w:tc>
      </w:tr>
      <w:tr w:rsidR="004C0BE0" w:rsidRPr="00166D67" w14:paraId="01ECC5A3" w14:textId="77777777" w:rsidTr="001701F9">
        <w:trPr>
          <w:cantSplit/>
        </w:trPr>
        <w:tc>
          <w:tcPr>
            <w:tcW w:w="1097" w:type="dxa"/>
          </w:tcPr>
          <w:p w14:paraId="6B2A375E" w14:textId="5FC9E161" w:rsidR="004C0BE0" w:rsidRPr="007F1827" w:rsidRDefault="004C0BE0" w:rsidP="004C0BE0">
            <w:pPr>
              <w:jc w:val="left"/>
              <w:rPr>
                <w:rFonts w:asciiTheme="majorHAnsi" w:hAnsiTheme="majorHAnsi" w:cstheme="majorHAnsi"/>
                <w:b/>
                <w:sz w:val="17"/>
                <w:szCs w:val="17"/>
              </w:rPr>
            </w:pPr>
            <w:r w:rsidRPr="007F1827">
              <w:rPr>
                <w:rFonts w:asciiTheme="majorHAnsi" w:hAnsiTheme="majorHAnsi" w:cstheme="majorHAnsi"/>
                <w:b/>
                <w:sz w:val="17"/>
                <w:szCs w:val="17"/>
              </w:rPr>
              <w:t>7 July 2020</w:t>
            </w:r>
          </w:p>
        </w:tc>
        <w:tc>
          <w:tcPr>
            <w:tcW w:w="1880" w:type="dxa"/>
          </w:tcPr>
          <w:p w14:paraId="4D9AFF84" w14:textId="6021DF18" w:rsidR="004C0BE0" w:rsidRPr="00166D67" w:rsidRDefault="00A324C3" w:rsidP="004C0BE0">
            <w:pPr>
              <w:jc w:val="left"/>
              <w:rPr>
                <w:color w:val="2CD5C4" w:themeColor="accent1"/>
                <w:sz w:val="17"/>
                <w:szCs w:val="17"/>
              </w:rPr>
            </w:pPr>
            <w:hyperlink r:id="rId140" w:history="1">
              <w:r w:rsidR="004C0BE0" w:rsidRPr="00166D67">
                <w:rPr>
                  <w:rStyle w:val="Hyperlink"/>
                  <w:color w:val="2CD5C4" w:themeColor="accent1"/>
                  <w:sz w:val="17"/>
                  <w:szCs w:val="17"/>
                </w:rPr>
                <w:t>EBA provides clarity on the implementation of the prudential framework in the context of COVID-19</w:t>
              </w:r>
            </w:hyperlink>
          </w:p>
        </w:tc>
        <w:tc>
          <w:tcPr>
            <w:tcW w:w="1819" w:type="dxa"/>
          </w:tcPr>
          <w:p w14:paraId="4E495A39" w14:textId="77777777" w:rsidR="004C0BE0" w:rsidRPr="00166D67" w:rsidRDefault="004C0BE0" w:rsidP="004C0BE0">
            <w:pPr>
              <w:jc w:val="left"/>
              <w:rPr>
                <w:sz w:val="17"/>
                <w:szCs w:val="17"/>
              </w:rPr>
            </w:pPr>
          </w:p>
        </w:tc>
        <w:tc>
          <w:tcPr>
            <w:tcW w:w="2155" w:type="dxa"/>
          </w:tcPr>
          <w:p w14:paraId="6F170C6E" w14:textId="588257E6"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Credit Institutions</w:t>
            </w:r>
          </w:p>
        </w:tc>
        <w:tc>
          <w:tcPr>
            <w:tcW w:w="5523" w:type="dxa"/>
          </w:tcPr>
          <w:p w14:paraId="6244BBFD" w14:textId="5CE92636"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This EBA report clarifies the application of the prudential framework raised because of COVID-19. Issues have presented themselves in the wake of measures such as the Guidelines on moratoria on loan repayments and the EBA is seeking to provide clarity on questions of interpretation and implementation of such Guidelines. The report provides an overview of the moratoria in place in the EU based on notifications sent to the EBA. The report also looks at common criteria to be used in relation to treatment of COVID-19 operational risk losses in the capital requirement calculations. The report will be updated as more developments emerge.</w:t>
            </w:r>
          </w:p>
        </w:tc>
      </w:tr>
      <w:tr w:rsidR="004C0BE0" w:rsidRPr="00166D67" w14:paraId="53D8D690" w14:textId="77777777" w:rsidTr="001701F9">
        <w:trPr>
          <w:cantSplit/>
        </w:trPr>
        <w:tc>
          <w:tcPr>
            <w:tcW w:w="1097" w:type="dxa"/>
          </w:tcPr>
          <w:p w14:paraId="7BB7B21D" w14:textId="35ED0378" w:rsidR="004C0BE0" w:rsidRPr="007F1827" w:rsidRDefault="004C0BE0" w:rsidP="004C0BE0">
            <w:pPr>
              <w:jc w:val="left"/>
              <w:rPr>
                <w:rFonts w:asciiTheme="majorHAnsi" w:hAnsiTheme="majorHAnsi" w:cstheme="majorHAnsi"/>
                <w:b/>
                <w:sz w:val="17"/>
                <w:szCs w:val="17"/>
              </w:rPr>
            </w:pPr>
            <w:r w:rsidRPr="007F1827">
              <w:rPr>
                <w:rFonts w:asciiTheme="majorHAnsi" w:hAnsiTheme="majorHAnsi" w:cstheme="majorHAnsi"/>
                <w:b/>
                <w:sz w:val="17"/>
                <w:szCs w:val="17"/>
              </w:rPr>
              <w:t>9 July 2020</w:t>
            </w:r>
          </w:p>
        </w:tc>
        <w:tc>
          <w:tcPr>
            <w:tcW w:w="1880" w:type="dxa"/>
          </w:tcPr>
          <w:p w14:paraId="5138FA1F" w14:textId="784F3DEF" w:rsidR="004C0BE0" w:rsidRPr="00166D67" w:rsidRDefault="00A324C3" w:rsidP="004C0BE0">
            <w:pPr>
              <w:jc w:val="left"/>
              <w:rPr>
                <w:color w:val="2CD5C4" w:themeColor="accent1"/>
                <w:sz w:val="17"/>
                <w:szCs w:val="17"/>
              </w:rPr>
            </w:pPr>
            <w:hyperlink r:id="rId141" w:history="1">
              <w:r w:rsidR="004C0BE0" w:rsidRPr="00166D67">
                <w:rPr>
                  <w:rStyle w:val="Hyperlink"/>
                  <w:color w:val="2CD5C4" w:themeColor="accent1"/>
                  <w:sz w:val="17"/>
                  <w:szCs w:val="17"/>
                </w:rPr>
                <w:t>EBA calls for resolution authorities to consider the impact of COVID-19 resolution strategies and resolvability</w:t>
              </w:r>
            </w:hyperlink>
          </w:p>
        </w:tc>
        <w:tc>
          <w:tcPr>
            <w:tcW w:w="1819" w:type="dxa"/>
          </w:tcPr>
          <w:p w14:paraId="11E04D35" w14:textId="77777777" w:rsidR="004C0BE0" w:rsidRPr="00166D67" w:rsidRDefault="004C0BE0" w:rsidP="004C0BE0">
            <w:pPr>
              <w:jc w:val="left"/>
              <w:rPr>
                <w:sz w:val="17"/>
                <w:szCs w:val="17"/>
              </w:rPr>
            </w:pPr>
          </w:p>
        </w:tc>
        <w:tc>
          <w:tcPr>
            <w:tcW w:w="2155" w:type="dxa"/>
          </w:tcPr>
          <w:p w14:paraId="64FEAAD7" w14:textId="5A1EFE0C"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Credit Institutions</w:t>
            </w:r>
          </w:p>
        </w:tc>
        <w:tc>
          <w:tcPr>
            <w:tcW w:w="5523" w:type="dxa"/>
          </w:tcPr>
          <w:p w14:paraId="18ECE9FA" w14:textId="42C97B46" w:rsidR="004C0BE0" w:rsidRPr="00166D67" w:rsidRDefault="004C0BE0" w:rsidP="004C0BE0">
            <w:pPr>
              <w:jc w:val="left"/>
              <w:rPr>
                <w:rFonts w:asciiTheme="majorHAnsi" w:hAnsiTheme="majorHAnsi" w:cstheme="majorHAnsi"/>
                <w:sz w:val="17"/>
                <w:szCs w:val="17"/>
              </w:rPr>
            </w:pPr>
            <w:r w:rsidRPr="00166D67">
              <w:rPr>
                <w:rFonts w:asciiTheme="majorHAnsi" w:hAnsiTheme="majorHAnsi" w:cstheme="majorHAnsi"/>
                <w:sz w:val="17"/>
                <w:szCs w:val="17"/>
              </w:rPr>
              <w:t>The EBA issued a statement on resolution planning in light of the COVID-19 pandemic. The statement reiterates the importance of resolution planning in times of uncertainty to ensure that resolution stands as a credible option in times of stress. The EBA also highlights that it is important for resolution authorities to continue to promote institutions’ efforts to enhance their capabilities and increase their resolvability.</w:t>
            </w:r>
          </w:p>
        </w:tc>
      </w:tr>
      <w:tr w:rsidR="004C0BE0" w:rsidRPr="00166D67" w14:paraId="0D688FC7" w14:textId="77777777" w:rsidTr="001701F9">
        <w:trPr>
          <w:cantSplit/>
        </w:trPr>
        <w:tc>
          <w:tcPr>
            <w:tcW w:w="1097" w:type="dxa"/>
          </w:tcPr>
          <w:p w14:paraId="09BC6167" w14:textId="21D2710F" w:rsidR="004C0BE0" w:rsidRPr="007F1827" w:rsidRDefault="004C0BE0" w:rsidP="004C0BE0">
            <w:pPr>
              <w:jc w:val="left"/>
              <w:rPr>
                <w:rFonts w:asciiTheme="majorHAnsi" w:hAnsiTheme="majorHAnsi" w:cstheme="majorHAnsi"/>
                <w:b/>
                <w:sz w:val="17"/>
                <w:szCs w:val="17"/>
              </w:rPr>
            </w:pPr>
            <w:r w:rsidRPr="007F1827">
              <w:rPr>
                <w:b/>
                <w:sz w:val="17"/>
                <w:szCs w:val="17"/>
              </w:rPr>
              <w:t>21 July 2020</w:t>
            </w:r>
          </w:p>
        </w:tc>
        <w:tc>
          <w:tcPr>
            <w:tcW w:w="1880" w:type="dxa"/>
          </w:tcPr>
          <w:p w14:paraId="1AF16F8E" w14:textId="214814E8" w:rsidR="004C0BE0" w:rsidRPr="00166D67" w:rsidRDefault="00A324C3" w:rsidP="004C0BE0">
            <w:pPr>
              <w:jc w:val="left"/>
              <w:rPr>
                <w:color w:val="2CD5C4" w:themeColor="accent1"/>
                <w:sz w:val="17"/>
                <w:szCs w:val="17"/>
              </w:rPr>
            </w:pPr>
            <w:hyperlink r:id="rId142" w:history="1">
              <w:r w:rsidR="004C0BE0" w:rsidRPr="00166D67">
                <w:rPr>
                  <w:rStyle w:val="Hyperlink"/>
                  <w:sz w:val="17"/>
                  <w:szCs w:val="17"/>
                </w:rPr>
                <w:t>EBA publishes overview of public guarantee schemes issued in response to the Covid-19 pandemic</w:t>
              </w:r>
            </w:hyperlink>
          </w:p>
        </w:tc>
        <w:tc>
          <w:tcPr>
            <w:tcW w:w="1819" w:type="dxa"/>
          </w:tcPr>
          <w:p w14:paraId="3B516AD6" w14:textId="77777777" w:rsidR="004C0BE0" w:rsidRPr="00166D67" w:rsidRDefault="004C0BE0" w:rsidP="004C0BE0">
            <w:pPr>
              <w:jc w:val="left"/>
              <w:rPr>
                <w:sz w:val="17"/>
                <w:szCs w:val="17"/>
              </w:rPr>
            </w:pPr>
          </w:p>
        </w:tc>
        <w:tc>
          <w:tcPr>
            <w:tcW w:w="2155" w:type="dxa"/>
          </w:tcPr>
          <w:p w14:paraId="6556D48E" w14:textId="77777777" w:rsidR="004C0BE0" w:rsidRPr="00166D67" w:rsidRDefault="004C0BE0" w:rsidP="004C0BE0">
            <w:pPr>
              <w:jc w:val="left"/>
              <w:rPr>
                <w:sz w:val="17"/>
                <w:szCs w:val="17"/>
              </w:rPr>
            </w:pPr>
            <w:r w:rsidRPr="00166D67">
              <w:rPr>
                <w:sz w:val="17"/>
                <w:szCs w:val="17"/>
              </w:rPr>
              <w:t>Credit Institutions</w:t>
            </w:r>
          </w:p>
          <w:p w14:paraId="3D7C5BD3" w14:textId="77777777" w:rsidR="004C0BE0" w:rsidRPr="00166D67" w:rsidRDefault="004C0BE0" w:rsidP="004C0BE0">
            <w:pPr>
              <w:jc w:val="left"/>
              <w:rPr>
                <w:rFonts w:asciiTheme="majorHAnsi" w:hAnsiTheme="majorHAnsi" w:cstheme="majorHAnsi"/>
                <w:sz w:val="17"/>
                <w:szCs w:val="17"/>
              </w:rPr>
            </w:pPr>
          </w:p>
        </w:tc>
        <w:tc>
          <w:tcPr>
            <w:tcW w:w="5523" w:type="dxa"/>
          </w:tcPr>
          <w:p w14:paraId="66DB7D73" w14:textId="491242BE" w:rsidR="004C0BE0" w:rsidRPr="00166D67" w:rsidRDefault="004C0BE0" w:rsidP="004C0BE0">
            <w:pPr>
              <w:jc w:val="left"/>
              <w:rPr>
                <w:rFonts w:asciiTheme="majorHAnsi" w:hAnsiTheme="majorHAnsi" w:cstheme="majorHAnsi"/>
                <w:sz w:val="17"/>
                <w:szCs w:val="17"/>
              </w:rPr>
            </w:pPr>
            <w:r w:rsidRPr="00166D67">
              <w:rPr>
                <w:rFonts w:cs="Arial"/>
                <w:bCs/>
                <w:sz w:val="17"/>
                <w:szCs w:val="17"/>
              </w:rPr>
              <w:t xml:space="preserve">The EBA has published a guide listing all 47 EU and EEA public guarantee schemes issued in response to COVID-19. The guide aims to promote public transparency and clarifies whether each scheme is linked to new lending or existing exposures, the type of obligors covered and the coverage level offered. This follows a report on implementation of selected COVID-19 policies, (referred to above) published on 7 July 2020 which addresses issues that arose in the implementation of the Guidelines on Payment Moratoria and Operational Risk published to combat the shock of COVID-19.  </w:t>
            </w:r>
          </w:p>
        </w:tc>
      </w:tr>
      <w:tr w:rsidR="004C0BE0" w:rsidRPr="00166D67" w14:paraId="02DAC24A" w14:textId="77777777" w:rsidTr="001701F9">
        <w:trPr>
          <w:cantSplit/>
        </w:trPr>
        <w:tc>
          <w:tcPr>
            <w:tcW w:w="1097" w:type="dxa"/>
          </w:tcPr>
          <w:p w14:paraId="4B4CDAC0" w14:textId="1A1A130F" w:rsidR="004C0BE0" w:rsidRPr="007F1827" w:rsidRDefault="004C0BE0" w:rsidP="004C0BE0">
            <w:pPr>
              <w:jc w:val="left"/>
              <w:rPr>
                <w:rFonts w:asciiTheme="majorHAnsi" w:hAnsiTheme="majorHAnsi" w:cstheme="majorHAnsi"/>
                <w:b/>
                <w:sz w:val="17"/>
                <w:szCs w:val="17"/>
              </w:rPr>
            </w:pPr>
            <w:r w:rsidRPr="007F1827">
              <w:rPr>
                <w:b/>
                <w:sz w:val="17"/>
                <w:szCs w:val="17"/>
              </w:rPr>
              <w:t>23 July 2020</w:t>
            </w:r>
          </w:p>
        </w:tc>
        <w:tc>
          <w:tcPr>
            <w:tcW w:w="1880" w:type="dxa"/>
          </w:tcPr>
          <w:p w14:paraId="5E70D0D7" w14:textId="7559E862" w:rsidR="004C0BE0" w:rsidRPr="00166D67" w:rsidRDefault="00A324C3" w:rsidP="004C0BE0">
            <w:pPr>
              <w:jc w:val="left"/>
              <w:rPr>
                <w:color w:val="2CD5C4" w:themeColor="accent1"/>
                <w:sz w:val="17"/>
                <w:szCs w:val="17"/>
              </w:rPr>
            </w:pPr>
            <w:hyperlink r:id="rId143" w:history="1">
              <w:r w:rsidR="004C0BE0" w:rsidRPr="00166D67">
                <w:rPr>
                  <w:rStyle w:val="Hyperlink"/>
                  <w:sz w:val="17"/>
                  <w:szCs w:val="17"/>
                </w:rPr>
                <w:t>Guidelines on the pragmatic 2020 SREP</w:t>
              </w:r>
            </w:hyperlink>
          </w:p>
        </w:tc>
        <w:tc>
          <w:tcPr>
            <w:tcW w:w="1819" w:type="dxa"/>
          </w:tcPr>
          <w:p w14:paraId="2908A0D3" w14:textId="77777777" w:rsidR="004C0BE0" w:rsidRPr="00166D67" w:rsidRDefault="004C0BE0" w:rsidP="004C0BE0">
            <w:pPr>
              <w:jc w:val="left"/>
              <w:rPr>
                <w:sz w:val="17"/>
                <w:szCs w:val="17"/>
              </w:rPr>
            </w:pPr>
          </w:p>
        </w:tc>
        <w:tc>
          <w:tcPr>
            <w:tcW w:w="2155" w:type="dxa"/>
          </w:tcPr>
          <w:p w14:paraId="4B0E7487" w14:textId="1534F1D0" w:rsidR="004C0BE0" w:rsidRPr="00166D67" w:rsidRDefault="004C0BE0" w:rsidP="004C0BE0">
            <w:pPr>
              <w:jc w:val="left"/>
              <w:rPr>
                <w:rFonts w:asciiTheme="majorHAnsi" w:hAnsiTheme="majorHAnsi" w:cstheme="majorHAnsi"/>
                <w:sz w:val="17"/>
                <w:szCs w:val="17"/>
              </w:rPr>
            </w:pPr>
            <w:r w:rsidRPr="00166D67">
              <w:rPr>
                <w:sz w:val="17"/>
                <w:szCs w:val="17"/>
              </w:rPr>
              <w:t>Credit Institutions</w:t>
            </w:r>
          </w:p>
        </w:tc>
        <w:tc>
          <w:tcPr>
            <w:tcW w:w="5523" w:type="dxa"/>
          </w:tcPr>
          <w:p w14:paraId="04992987" w14:textId="1E08703E" w:rsidR="004C0BE0" w:rsidRPr="00166D67" w:rsidRDefault="004C0BE0" w:rsidP="004C0BE0">
            <w:pPr>
              <w:jc w:val="left"/>
              <w:rPr>
                <w:rFonts w:asciiTheme="majorHAnsi" w:hAnsiTheme="majorHAnsi" w:cstheme="majorHAnsi"/>
                <w:sz w:val="17"/>
                <w:szCs w:val="17"/>
              </w:rPr>
            </w:pPr>
            <w:r w:rsidRPr="00166D67">
              <w:rPr>
                <w:sz w:val="17"/>
                <w:szCs w:val="17"/>
              </w:rPr>
              <w:t>The EBA published final guidelines aimed at assisting competent authorities with their supervisory review and evaluation process (</w:t>
            </w:r>
            <w:r w:rsidRPr="00166D67">
              <w:rPr>
                <w:b/>
                <w:sz w:val="17"/>
                <w:szCs w:val="17"/>
              </w:rPr>
              <w:t>SREP</w:t>
            </w:r>
            <w:r w:rsidRPr="00166D67">
              <w:rPr>
                <w:sz w:val="17"/>
                <w:szCs w:val="17"/>
              </w:rPr>
              <w:t>) for 2020. The guidelines suggest adaptations for competent authorities in light of COVID-19, while remaining within the scope of existing SREP guidelines and Capital Requirements Directive requirements. Key aspects for SREP in 2020 include an emphasis on pragmatism, overall SREP assessment and scoring, supervisory measures and conduct of the SREP in a cross border context</w:t>
            </w:r>
          </w:p>
        </w:tc>
      </w:tr>
      <w:tr w:rsidR="004C0BE0" w:rsidRPr="00166D67" w14:paraId="4923540B" w14:textId="77777777" w:rsidTr="001701F9">
        <w:trPr>
          <w:cantSplit/>
        </w:trPr>
        <w:tc>
          <w:tcPr>
            <w:tcW w:w="1097" w:type="dxa"/>
          </w:tcPr>
          <w:p w14:paraId="5AEFC99C" w14:textId="3523B8E0" w:rsidR="004C0BE0" w:rsidRPr="007F1827" w:rsidRDefault="004C0BE0" w:rsidP="004C0BE0">
            <w:pPr>
              <w:jc w:val="left"/>
              <w:rPr>
                <w:b/>
                <w:sz w:val="17"/>
                <w:szCs w:val="17"/>
              </w:rPr>
            </w:pPr>
            <w:r w:rsidRPr="007F1827">
              <w:rPr>
                <w:b/>
                <w:sz w:val="17"/>
                <w:szCs w:val="17"/>
              </w:rPr>
              <w:t>30 July 2020</w:t>
            </w:r>
          </w:p>
        </w:tc>
        <w:tc>
          <w:tcPr>
            <w:tcW w:w="1880" w:type="dxa"/>
          </w:tcPr>
          <w:p w14:paraId="3C164A27" w14:textId="367838F3" w:rsidR="004C0BE0" w:rsidRPr="00166D67" w:rsidRDefault="00A324C3" w:rsidP="004C0BE0">
            <w:pPr>
              <w:jc w:val="left"/>
              <w:rPr>
                <w:sz w:val="17"/>
                <w:szCs w:val="17"/>
              </w:rPr>
            </w:pPr>
            <w:hyperlink r:id="rId144" w:history="1">
              <w:r w:rsidR="004C0BE0" w:rsidRPr="00166D67">
                <w:rPr>
                  <w:rStyle w:val="Hyperlink"/>
                  <w:sz w:val="17"/>
                  <w:szCs w:val="17"/>
                </w:rPr>
                <w:t>EBA sees first impact of COVID-19 materialising in EU banks’ Q1 data</w:t>
              </w:r>
            </w:hyperlink>
          </w:p>
        </w:tc>
        <w:tc>
          <w:tcPr>
            <w:tcW w:w="1819" w:type="dxa"/>
          </w:tcPr>
          <w:p w14:paraId="3E2783E6" w14:textId="77777777" w:rsidR="004C0BE0" w:rsidRPr="00166D67" w:rsidRDefault="004C0BE0" w:rsidP="004C0BE0">
            <w:pPr>
              <w:jc w:val="left"/>
              <w:rPr>
                <w:sz w:val="17"/>
                <w:szCs w:val="17"/>
              </w:rPr>
            </w:pPr>
          </w:p>
        </w:tc>
        <w:tc>
          <w:tcPr>
            <w:tcW w:w="2155" w:type="dxa"/>
          </w:tcPr>
          <w:p w14:paraId="0CFBDE35" w14:textId="3D2D985F" w:rsidR="004C0BE0" w:rsidRPr="00166D67" w:rsidRDefault="004C0BE0" w:rsidP="004C0BE0">
            <w:pPr>
              <w:jc w:val="left"/>
              <w:rPr>
                <w:sz w:val="17"/>
                <w:szCs w:val="17"/>
              </w:rPr>
            </w:pPr>
            <w:r w:rsidRPr="00166D67">
              <w:rPr>
                <w:sz w:val="17"/>
                <w:szCs w:val="17"/>
              </w:rPr>
              <w:t>Credit Institutions</w:t>
            </w:r>
          </w:p>
        </w:tc>
        <w:tc>
          <w:tcPr>
            <w:tcW w:w="5523" w:type="dxa"/>
          </w:tcPr>
          <w:p w14:paraId="35884DF4" w14:textId="15D73E9F" w:rsidR="004C0BE0" w:rsidRPr="00166D67" w:rsidRDefault="004C0BE0" w:rsidP="004C0BE0">
            <w:pPr>
              <w:jc w:val="left"/>
              <w:rPr>
                <w:sz w:val="17"/>
                <w:szCs w:val="17"/>
              </w:rPr>
            </w:pPr>
            <w:r w:rsidRPr="00166D67">
              <w:rPr>
                <w:sz w:val="17"/>
                <w:szCs w:val="17"/>
              </w:rPr>
              <w:t>The EBA published its quarterly Risk Dashboard along with its Risk Assessment Questionnaire. It covers the Q1 period in 2020. The impact of COVID-19 manifests itself in the contraction of capital ratios and profitability in banks. The cost of risk has also increased, but non-performing loan ratios are stable. Liquidity positions also showed no deterioration for Q1 2020.</w:t>
            </w:r>
          </w:p>
        </w:tc>
      </w:tr>
      <w:tr w:rsidR="004C0BE0" w:rsidRPr="00166D67" w14:paraId="18C61823" w14:textId="77777777" w:rsidTr="001701F9">
        <w:trPr>
          <w:cantSplit/>
        </w:trPr>
        <w:tc>
          <w:tcPr>
            <w:tcW w:w="1097" w:type="dxa"/>
          </w:tcPr>
          <w:p w14:paraId="7CDA34FF" w14:textId="60F4715B" w:rsidR="004C0BE0" w:rsidRPr="007F1827" w:rsidRDefault="004C0BE0" w:rsidP="004C0BE0">
            <w:pPr>
              <w:jc w:val="left"/>
              <w:rPr>
                <w:b/>
                <w:sz w:val="17"/>
                <w:szCs w:val="17"/>
              </w:rPr>
            </w:pPr>
            <w:r w:rsidRPr="007F1827">
              <w:rPr>
                <w:b/>
                <w:sz w:val="17"/>
                <w:szCs w:val="17"/>
              </w:rPr>
              <w:t>7 August 2020</w:t>
            </w:r>
          </w:p>
        </w:tc>
        <w:tc>
          <w:tcPr>
            <w:tcW w:w="1880" w:type="dxa"/>
          </w:tcPr>
          <w:p w14:paraId="5A300C87" w14:textId="22619A07" w:rsidR="004C0BE0" w:rsidRPr="00166D67" w:rsidRDefault="00A324C3" w:rsidP="004C0BE0">
            <w:pPr>
              <w:jc w:val="left"/>
              <w:rPr>
                <w:sz w:val="17"/>
                <w:szCs w:val="17"/>
              </w:rPr>
            </w:pPr>
            <w:hyperlink r:id="rId145" w:history="1">
              <w:r w:rsidR="004C0BE0" w:rsidRPr="00166D67">
                <w:rPr>
                  <w:rStyle w:val="Hyperlink"/>
                  <w:sz w:val="17"/>
                  <w:szCs w:val="17"/>
                </w:rPr>
                <w:t>EBA provides clarity on the implementation of the reporting and disclosure framework in the context of COVID-19 measures</w:t>
              </w:r>
            </w:hyperlink>
          </w:p>
        </w:tc>
        <w:tc>
          <w:tcPr>
            <w:tcW w:w="1819" w:type="dxa"/>
          </w:tcPr>
          <w:p w14:paraId="005D747C" w14:textId="77777777" w:rsidR="004C0BE0" w:rsidRPr="00166D67" w:rsidRDefault="004C0BE0" w:rsidP="004C0BE0">
            <w:pPr>
              <w:jc w:val="left"/>
              <w:rPr>
                <w:sz w:val="17"/>
                <w:szCs w:val="17"/>
              </w:rPr>
            </w:pPr>
          </w:p>
        </w:tc>
        <w:tc>
          <w:tcPr>
            <w:tcW w:w="2155" w:type="dxa"/>
          </w:tcPr>
          <w:p w14:paraId="363BF79B" w14:textId="77777777" w:rsidR="004C0BE0" w:rsidRPr="00166D67" w:rsidRDefault="004C0BE0" w:rsidP="004C0BE0">
            <w:pPr>
              <w:jc w:val="left"/>
              <w:rPr>
                <w:sz w:val="17"/>
                <w:szCs w:val="17"/>
              </w:rPr>
            </w:pPr>
            <w:r w:rsidRPr="00166D67">
              <w:rPr>
                <w:sz w:val="17"/>
                <w:szCs w:val="17"/>
              </w:rPr>
              <w:t>Supervisors</w:t>
            </w:r>
          </w:p>
          <w:p w14:paraId="74C99FA8" w14:textId="77777777" w:rsidR="004C0BE0" w:rsidRPr="00166D67" w:rsidRDefault="004C0BE0" w:rsidP="004C0BE0">
            <w:pPr>
              <w:jc w:val="left"/>
              <w:rPr>
                <w:sz w:val="17"/>
                <w:szCs w:val="17"/>
              </w:rPr>
            </w:pPr>
          </w:p>
          <w:p w14:paraId="1C4A5991" w14:textId="44FFABB5" w:rsidR="004C0BE0" w:rsidRPr="00166D67" w:rsidRDefault="004C0BE0" w:rsidP="004C0BE0">
            <w:pPr>
              <w:jc w:val="left"/>
              <w:rPr>
                <w:sz w:val="17"/>
                <w:szCs w:val="17"/>
              </w:rPr>
            </w:pPr>
            <w:r w:rsidRPr="00166D67">
              <w:rPr>
                <w:sz w:val="17"/>
                <w:szCs w:val="17"/>
              </w:rPr>
              <w:t>Credit Institutions</w:t>
            </w:r>
          </w:p>
        </w:tc>
        <w:tc>
          <w:tcPr>
            <w:tcW w:w="5523" w:type="dxa"/>
          </w:tcPr>
          <w:p w14:paraId="6B5AE312" w14:textId="08A977D0" w:rsidR="004C0BE0" w:rsidRPr="00166D67" w:rsidRDefault="004C0BE0" w:rsidP="004C0BE0">
            <w:pPr>
              <w:jc w:val="left"/>
              <w:rPr>
                <w:color w:val="FF0000"/>
                <w:sz w:val="17"/>
                <w:szCs w:val="17"/>
              </w:rPr>
            </w:pPr>
            <w:r w:rsidRPr="00166D67">
              <w:rPr>
                <w:sz w:val="17"/>
                <w:szCs w:val="17"/>
              </w:rPr>
              <w:t xml:space="preserve">The EBA published FAQs providing clarity on implementation on some of the EBA Guidelines on reporting and disclosure of exposures impacted by COVID-19. Supervisors and credit institutions will find the FAQs useful. The new implementation and technical clarification FAQs are in section 4 of the </w:t>
            </w:r>
            <w:hyperlink r:id="rId146" w:history="1">
              <w:r w:rsidRPr="00166D67">
                <w:rPr>
                  <w:rStyle w:val="Hyperlink"/>
                  <w:sz w:val="17"/>
                  <w:szCs w:val="17"/>
                </w:rPr>
                <w:t>EBA Report on the implementation of selected COVID-19 policies</w:t>
              </w:r>
            </w:hyperlink>
            <w:r w:rsidRPr="00166D67">
              <w:rPr>
                <w:color w:val="FF0000"/>
                <w:sz w:val="17"/>
                <w:szCs w:val="17"/>
              </w:rPr>
              <w:t>.</w:t>
            </w:r>
          </w:p>
        </w:tc>
      </w:tr>
      <w:tr w:rsidR="004C0BE0" w:rsidRPr="00166D67" w14:paraId="4160EE8C" w14:textId="77777777" w:rsidTr="001701F9">
        <w:trPr>
          <w:cantSplit/>
        </w:trPr>
        <w:tc>
          <w:tcPr>
            <w:tcW w:w="1097" w:type="dxa"/>
          </w:tcPr>
          <w:p w14:paraId="1BB1C29D" w14:textId="4AB20735" w:rsidR="004C0BE0" w:rsidRPr="007F1827" w:rsidRDefault="004C0BE0" w:rsidP="004C0BE0">
            <w:pPr>
              <w:jc w:val="left"/>
              <w:rPr>
                <w:b/>
                <w:sz w:val="17"/>
                <w:szCs w:val="17"/>
              </w:rPr>
            </w:pPr>
            <w:r w:rsidRPr="007F1827">
              <w:rPr>
                <w:b/>
                <w:sz w:val="17"/>
                <w:szCs w:val="17"/>
              </w:rPr>
              <w:t>11 August 2020</w:t>
            </w:r>
          </w:p>
        </w:tc>
        <w:tc>
          <w:tcPr>
            <w:tcW w:w="1880" w:type="dxa"/>
          </w:tcPr>
          <w:p w14:paraId="0D83D45C" w14:textId="4E9A8276" w:rsidR="004C0BE0" w:rsidRPr="00166D67" w:rsidRDefault="00A324C3" w:rsidP="004C0BE0">
            <w:pPr>
              <w:jc w:val="left"/>
              <w:rPr>
                <w:sz w:val="17"/>
                <w:szCs w:val="17"/>
              </w:rPr>
            </w:pPr>
            <w:hyperlink r:id="rId147" w:history="1">
              <w:r w:rsidR="004C0BE0" w:rsidRPr="00166D67">
                <w:rPr>
                  <w:rStyle w:val="Hyperlink"/>
                  <w:sz w:val="17"/>
                  <w:szCs w:val="17"/>
                </w:rPr>
                <w:t>EBA publishes guidance on impact of CRR adjustments in response to the COVID</w:t>
              </w:r>
              <w:r w:rsidR="004C0BE0" w:rsidRPr="00166D67">
                <w:rPr>
                  <w:rStyle w:val="Hyperlink"/>
                  <w:rFonts w:ascii="Cambria Math" w:hAnsi="Cambria Math" w:cs="Cambria Math"/>
                  <w:sz w:val="17"/>
                  <w:szCs w:val="17"/>
                </w:rPr>
                <w:t>‐</w:t>
              </w:r>
              <w:r w:rsidR="004C0BE0" w:rsidRPr="00166D67">
                <w:rPr>
                  <w:rStyle w:val="Hyperlink"/>
                  <w:sz w:val="17"/>
                  <w:szCs w:val="17"/>
                </w:rPr>
                <w:t>19 pandemic on supervisory reporting and disclosure</w:t>
              </w:r>
            </w:hyperlink>
          </w:p>
        </w:tc>
        <w:tc>
          <w:tcPr>
            <w:tcW w:w="1819" w:type="dxa"/>
          </w:tcPr>
          <w:p w14:paraId="1576804D" w14:textId="77777777" w:rsidR="004C0BE0" w:rsidRPr="00166D67" w:rsidRDefault="004C0BE0" w:rsidP="004C0BE0">
            <w:pPr>
              <w:jc w:val="left"/>
              <w:rPr>
                <w:sz w:val="17"/>
                <w:szCs w:val="17"/>
              </w:rPr>
            </w:pPr>
          </w:p>
        </w:tc>
        <w:tc>
          <w:tcPr>
            <w:tcW w:w="2155" w:type="dxa"/>
          </w:tcPr>
          <w:p w14:paraId="7E24CA42" w14:textId="7973EA0A" w:rsidR="004C0BE0" w:rsidRPr="00166D67" w:rsidRDefault="004C0BE0" w:rsidP="004C0BE0">
            <w:pPr>
              <w:jc w:val="left"/>
              <w:rPr>
                <w:sz w:val="17"/>
                <w:szCs w:val="17"/>
              </w:rPr>
            </w:pPr>
            <w:r w:rsidRPr="00166D67">
              <w:rPr>
                <w:sz w:val="17"/>
                <w:szCs w:val="17"/>
              </w:rPr>
              <w:t>Credit Institutions</w:t>
            </w:r>
          </w:p>
        </w:tc>
        <w:tc>
          <w:tcPr>
            <w:tcW w:w="5523" w:type="dxa"/>
          </w:tcPr>
          <w:p w14:paraId="64704055" w14:textId="69309409" w:rsidR="004C0BE0" w:rsidRPr="00166D67" w:rsidRDefault="004C0BE0" w:rsidP="004C0BE0">
            <w:pPr>
              <w:jc w:val="left"/>
              <w:rPr>
                <w:sz w:val="17"/>
                <w:szCs w:val="17"/>
              </w:rPr>
            </w:pPr>
            <w:r w:rsidRPr="00166D67">
              <w:rPr>
                <w:sz w:val="17"/>
                <w:szCs w:val="17"/>
              </w:rPr>
              <w:t xml:space="preserve">The EBA has revised </w:t>
            </w:r>
            <w:proofErr w:type="gramStart"/>
            <w:r w:rsidRPr="00166D67">
              <w:rPr>
                <w:sz w:val="17"/>
                <w:szCs w:val="17"/>
              </w:rPr>
              <w:t>its</w:t>
            </w:r>
            <w:proofErr w:type="gramEnd"/>
            <w:r w:rsidRPr="00166D67">
              <w:rPr>
                <w:sz w:val="17"/>
                <w:szCs w:val="17"/>
              </w:rPr>
              <w:t xml:space="preserve"> </w:t>
            </w:r>
            <w:proofErr w:type="spellStart"/>
            <w:r w:rsidRPr="00166D67">
              <w:rPr>
                <w:sz w:val="17"/>
                <w:szCs w:val="17"/>
              </w:rPr>
              <w:t>ITS</w:t>
            </w:r>
            <w:proofErr w:type="spellEnd"/>
            <w:r w:rsidRPr="00166D67">
              <w:rPr>
                <w:sz w:val="17"/>
                <w:szCs w:val="17"/>
              </w:rPr>
              <w:t xml:space="preserve"> on supervisory reporting v3.0 along with two sets of Guidelines on disclosures and supervisory reporting requirements in response to the COVID-19 pandemic. The Guidelines on supervisory and reporting and disclosure clarify reporting of </w:t>
            </w:r>
            <w:proofErr w:type="gramStart"/>
            <w:r w:rsidRPr="00166D67">
              <w:rPr>
                <w:sz w:val="17"/>
                <w:szCs w:val="17"/>
              </w:rPr>
              <w:t>ITS</w:t>
            </w:r>
            <w:proofErr w:type="gramEnd"/>
            <w:r w:rsidRPr="00166D67">
              <w:rPr>
                <w:sz w:val="17"/>
                <w:szCs w:val="17"/>
              </w:rPr>
              <w:t xml:space="preserve"> for versions 2.9 and 2.10. Meanwhile the amending Guidelines on disclosure clarify whether institutions should apply the temporary treatment included in the new Article 468 of the CRR for unrealised gains and losses measured at fair value through other comprehensive income and adjustments to the provisions on IFRS 9 transitional arrangements in accordance with Article 473a of the CRR. The revised final draft </w:t>
            </w:r>
            <w:proofErr w:type="gramStart"/>
            <w:r w:rsidRPr="00166D67">
              <w:rPr>
                <w:sz w:val="17"/>
                <w:szCs w:val="17"/>
              </w:rPr>
              <w:t>ITS</w:t>
            </w:r>
            <w:proofErr w:type="gramEnd"/>
            <w:r w:rsidRPr="00166D67">
              <w:rPr>
                <w:sz w:val="17"/>
                <w:szCs w:val="17"/>
              </w:rPr>
              <w:t xml:space="preserve"> on reporting for v 3.0 replaces the final drat ITS of June 2020. This comes on the foot of the CRR "quick fix".</w:t>
            </w:r>
          </w:p>
        </w:tc>
      </w:tr>
      <w:tr w:rsidR="004C0BE0" w:rsidRPr="00166D67" w14:paraId="6820ED10" w14:textId="77777777" w:rsidTr="001701F9">
        <w:trPr>
          <w:cantSplit/>
        </w:trPr>
        <w:tc>
          <w:tcPr>
            <w:tcW w:w="1097" w:type="dxa"/>
          </w:tcPr>
          <w:p w14:paraId="2D3482DC" w14:textId="0015EF06" w:rsidR="004C0BE0" w:rsidRPr="007F1827" w:rsidRDefault="004C0BE0" w:rsidP="004C0BE0">
            <w:pPr>
              <w:jc w:val="left"/>
              <w:rPr>
                <w:b/>
                <w:sz w:val="17"/>
                <w:szCs w:val="17"/>
              </w:rPr>
            </w:pPr>
            <w:r w:rsidRPr="007F1827">
              <w:rPr>
                <w:b/>
                <w:sz w:val="17"/>
                <w:szCs w:val="17"/>
              </w:rPr>
              <w:t>14 August 2020</w:t>
            </w:r>
          </w:p>
        </w:tc>
        <w:tc>
          <w:tcPr>
            <w:tcW w:w="1880" w:type="dxa"/>
          </w:tcPr>
          <w:p w14:paraId="528CEA7E" w14:textId="63A6F326" w:rsidR="004C0BE0" w:rsidRPr="00166D67" w:rsidRDefault="00A324C3" w:rsidP="004C0BE0">
            <w:pPr>
              <w:jc w:val="left"/>
              <w:rPr>
                <w:sz w:val="17"/>
                <w:szCs w:val="17"/>
              </w:rPr>
            </w:pPr>
            <w:hyperlink r:id="rId148" w:history="1">
              <w:r w:rsidR="004C0BE0" w:rsidRPr="00166D67">
                <w:rPr>
                  <w:rStyle w:val="Hyperlink"/>
                  <w:sz w:val="17"/>
                  <w:szCs w:val="17"/>
                </w:rPr>
                <w:t>EBA updates its work programme for 2020 in light of the COVID-19 pandemic</w:t>
              </w:r>
            </w:hyperlink>
          </w:p>
        </w:tc>
        <w:tc>
          <w:tcPr>
            <w:tcW w:w="1819" w:type="dxa"/>
          </w:tcPr>
          <w:p w14:paraId="030CC2F0" w14:textId="77777777" w:rsidR="004C0BE0" w:rsidRPr="00166D67" w:rsidRDefault="004C0BE0" w:rsidP="004C0BE0">
            <w:pPr>
              <w:jc w:val="left"/>
              <w:rPr>
                <w:sz w:val="17"/>
                <w:szCs w:val="17"/>
              </w:rPr>
            </w:pPr>
          </w:p>
        </w:tc>
        <w:tc>
          <w:tcPr>
            <w:tcW w:w="2155" w:type="dxa"/>
          </w:tcPr>
          <w:p w14:paraId="1B9F1887" w14:textId="32D0E92D" w:rsidR="004C0BE0" w:rsidRPr="00166D67" w:rsidRDefault="004C0BE0" w:rsidP="004C0BE0">
            <w:pPr>
              <w:jc w:val="left"/>
              <w:rPr>
                <w:sz w:val="17"/>
                <w:szCs w:val="17"/>
              </w:rPr>
            </w:pPr>
            <w:r w:rsidRPr="00166D67">
              <w:rPr>
                <w:sz w:val="17"/>
                <w:szCs w:val="17"/>
              </w:rPr>
              <w:t>Credit Institutions</w:t>
            </w:r>
          </w:p>
        </w:tc>
        <w:tc>
          <w:tcPr>
            <w:tcW w:w="5523" w:type="dxa"/>
          </w:tcPr>
          <w:p w14:paraId="16B532C9" w14:textId="77777777" w:rsidR="004C0BE0" w:rsidRPr="00166D67" w:rsidRDefault="004C0BE0" w:rsidP="004C0BE0">
            <w:pPr>
              <w:jc w:val="left"/>
              <w:rPr>
                <w:sz w:val="17"/>
                <w:szCs w:val="17"/>
              </w:rPr>
            </w:pPr>
            <w:r w:rsidRPr="00166D67">
              <w:rPr>
                <w:sz w:val="17"/>
                <w:szCs w:val="17"/>
              </w:rPr>
              <w:t>The EBA has revised its annual work programme for 2020 in light of the changes brought in by the COVID-19 pandemic. The overall aim of the updated work programme is to reduce the burden on banks and to limit the EBA's interaction with the industry.</w:t>
            </w:r>
          </w:p>
          <w:p w14:paraId="417CB462" w14:textId="5BFB639B" w:rsidR="004C0BE0" w:rsidRPr="00166D67" w:rsidRDefault="004C0BE0" w:rsidP="004C0BE0">
            <w:pPr>
              <w:jc w:val="left"/>
              <w:rPr>
                <w:sz w:val="17"/>
                <w:szCs w:val="17"/>
              </w:rPr>
            </w:pPr>
            <w:r w:rsidRPr="00166D67">
              <w:rPr>
                <w:sz w:val="17"/>
                <w:szCs w:val="17"/>
              </w:rPr>
              <w:t xml:space="preserve">Key changes include only launching new consultations where they are considered critical and postponing the publication of final technical standards, depending on their degree of completeness and anticipated implementation date. The EBA has also held off on data collections normally used for ad-hoc analysis. </w:t>
            </w:r>
          </w:p>
        </w:tc>
      </w:tr>
      <w:tr w:rsidR="004C0BE0" w:rsidRPr="00166D67" w14:paraId="70C9554A" w14:textId="77777777" w:rsidTr="001701F9">
        <w:trPr>
          <w:cantSplit/>
        </w:trPr>
        <w:tc>
          <w:tcPr>
            <w:tcW w:w="1097" w:type="dxa"/>
            <w:shd w:val="clear" w:color="auto" w:fill="auto"/>
          </w:tcPr>
          <w:p w14:paraId="2A7BA0C2" w14:textId="7587B94A" w:rsidR="004C0BE0" w:rsidRPr="007F1827" w:rsidRDefault="004C0BE0" w:rsidP="004C0BE0">
            <w:pPr>
              <w:jc w:val="left"/>
              <w:rPr>
                <w:b/>
                <w:sz w:val="17"/>
                <w:szCs w:val="17"/>
              </w:rPr>
            </w:pPr>
            <w:r w:rsidRPr="007F1827">
              <w:rPr>
                <w:b/>
                <w:sz w:val="17"/>
                <w:szCs w:val="17"/>
              </w:rPr>
              <w:t>21 September 2020</w:t>
            </w:r>
          </w:p>
        </w:tc>
        <w:tc>
          <w:tcPr>
            <w:tcW w:w="1880" w:type="dxa"/>
            <w:shd w:val="clear" w:color="auto" w:fill="auto"/>
          </w:tcPr>
          <w:p w14:paraId="63D30B31" w14:textId="6D590F1B" w:rsidR="004C0BE0" w:rsidRPr="00166D67" w:rsidRDefault="00A324C3" w:rsidP="004C0BE0">
            <w:pPr>
              <w:jc w:val="left"/>
              <w:rPr>
                <w:sz w:val="17"/>
                <w:szCs w:val="17"/>
              </w:rPr>
            </w:pPr>
            <w:hyperlink r:id="rId149" w:anchor="collapse103230" w:history="1">
              <w:r w:rsidR="004C0BE0" w:rsidRPr="00166D67">
                <w:rPr>
                  <w:rStyle w:val="Hyperlink"/>
                  <w:sz w:val="17"/>
                  <w:szCs w:val="17"/>
                </w:rPr>
                <w:t>EBA phases out its Guidelines on legislative and non-legislative loan repayments moratoria</w:t>
              </w:r>
            </w:hyperlink>
          </w:p>
        </w:tc>
        <w:tc>
          <w:tcPr>
            <w:tcW w:w="1819" w:type="dxa"/>
            <w:shd w:val="clear" w:color="auto" w:fill="auto"/>
          </w:tcPr>
          <w:p w14:paraId="3261330A" w14:textId="77777777" w:rsidR="004C0BE0" w:rsidRPr="00166D67" w:rsidRDefault="004C0BE0" w:rsidP="004C0BE0">
            <w:pPr>
              <w:jc w:val="left"/>
              <w:rPr>
                <w:sz w:val="17"/>
                <w:szCs w:val="17"/>
              </w:rPr>
            </w:pPr>
          </w:p>
        </w:tc>
        <w:tc>
          <w:tcPr>
            <w:tcW w:w="2155" w:type="dxa"/>
            <w:shd w:val="clear" w:color="auto" w:fill="auto"/>
          </w:tcPr>
          <w:p w14:paraId="55EFD11C" w14:textId="48E103D4" w:rsidR="004C0BE0" w:rsidRPr="00166D67" w:rsidRDefault="004C0BE0" w:rsidP="004C0BE0">
            <w:pPr>
              <w:jc w:val="left"/>
              <w:rPr>
                <w:sz w:val="17"/>
                <w:szCs w:val="17"/>
              </w:rPr>
            </w:pPr>
            <w:r w:rsidRPr="00166D67">
              <w:rPr>
                <w:sz w:val="17"/>
                <w:szCs w:val="17"/>
              </w:rPr>
              <w:t>Credit Institutions</w:t>
            </w:r>
          </w:p>
        </w:tc>
        <w:tc>
          <w:tcPr>
            <w:tcW w:w="5523" w:type="dxa"/>
            <w:shd w:val="clear" w:color="auto" w:fill="auto"/>
          </w:tcPr>
          <w:p w14:paraId="6C360E23" w14:textId="60C1C893" w:rsidR="004C0BE0" w:rsidRPr="00166D67" w:rsidRDefault="004C0BE0" w:rsidP="004C0BE0">
            <w:pPr>
              <w:jc w:val="left"/>
              <w:rPr>
                <w:sz w:val="17"/>
                <w:szCs w:val="17"/>
              </w:rPr>
            </w:pPr>
            <w:r w:rsidRPr="00166D67">
              <w:rPr>
                <w:sz w:val="17"/>
                <w:szCs w:val="17"/>
              </w:rPr>
              <w:t xml:space="preserve">The EBA has decided to phase out its Guidelines on legislative and non-legislative payment moratoria in accordance with its end of September deadline. The Guidelines provided the necessary flexibility, as well as certainty, on the regulatory framework in light of the COVID-19 pandemic. The EBA will continue to monitor the situation. </w:t>
            </w:r>
          </w:p>
        </w:tc>
      </w:tr>
      <w:tr w:rsidR="004C0BE0" w:rsidRPr="00166D67" w14:paraId="266D5A75" w14:textId="77777777" w:rsidTr="001701F9">
        <w:trPr>
          <w:cantSplit/>
        </w:trPr>
        <w:tc>
          <w:tcPr>
            <w:tcW w:w="1097" w:type="dxa"/>
            <w:shd w:val="clear" w:color="auto" w:fill="auto"/>
          </w:tcPr>
          <w:p w14:paraId="4786D49A" w14:textId="40FAA6F6" w:rsidR="004C0BE0" w:rsidRPr="007F1827" w:rsidRDefault="004C0BE0" w:rsidP="004C0BE0">
            <w:pPr>
              <w:jc w:val="left"/>
              <w:rPr>
                <w:b/>
                <w:sz w:val="17"/>
                <w:szCs w:val="17"/>
              </w:rPr>
            </w:pPr>
            <w:r w:rsidRPr="007F1827">
              <w:rPr>
                <w:b/>
                <w:sz w:val="17"/>
                <w:szCs w:val="17"/>
              </w:rPr>
              <w:t>22 September 2020</w:t>
            </w:r>
          </w:p>
        </w:tc>
        <w:tc>
          <w:tcPr>
            <w:tcW w:w="1880" w:type="dxa"/>
            <w:shd w:val="clear" w:color="auto" w:fill="auto"/>
          </w:tcPr>
          <w:p w14:paraId="1A96FC47" w14:textId="0463E88E" w:rsidR="004C0BE0" w:rsidRPr="00166D67" w:rsidRDefault="00A324C3" w:rsidP="004C0BE0">
            <w:pPr>
              <w:jc w:val="left"/>
              <w:rPr>
                <w:sz w:val="17"/>
                <w:szCs w:val="17"/>
              </w:rPr>
            </w:pPr>
            <w:hyperlink r:id="rId150" w:history="1">
              <w:r w:rsidR="004C0BE0" w:rsidRPr="00166D67">
                <w:rPr>
                  <w:rStyle w:val="Hyperlink"/>
                  <w:sz w:val="17"/>
                  <w:szCs w:val="17"/>
                </w:rPr>
                <w:t>EU financial regulators assess risks to the financial sector after the outbreak of COVID-19 and call for enhanced cooperation</w:t>
              </w:r>
            </w:hyperlink>
          </w:p>
        </w:tc>
        <w:tc>
          <w:tcPr>
            <w:tcW w:w="1819" w:type="dxa"/>
            <w:shd w:val="clear" w:color="auto" w:fill="auto"/>
          </w:tcPr>
          <w:p w14:paraId="2D58EB96" w14:textId="77777777" w:rsidR="004C0BE0" w:rsidRPr="00166D67" w:rsidRDefault="004C0BE0" w:rsidP="004C0BE0">
            <w:pPr>
              <w:jc w:val="left"/>
              <w:rPr>
                <w:sz w:val="17"/>
                <w:szCs w:val="17"/>
              </w:rPr>
            </w:pPr>
          </w:p>
        </w:tc>
        <w:tc>
          <w:tcPr>
            <w:tcW w:w="2155" w:type="dxa"/>
            <w:shd w:val="clear" w:color="auto" w:fill="auto"/>
          </w:tcPr>
          <w:p w14:paraId="4752B162" w14:textId="17F5126F" w:rsidR="004C0BE0" w:rsidRPr="00166D67" w:rsidRDefault="004C0BE0" w:rsidP="004C0BE0">
            <w:pPr>
              <w:jc w:val="left"/>
              <w:rPr>
                <w:sz w:val="17"/>
                <w:szCs w:val="17"/>
              </w:rPr>
            </w:pPr>
            <w:r w:rsidRPr="00166D67">
              <w:rPr>
                <w:sz w:val="17"/>
                <w:szCs w:val="17"/>
              </w:rPr>
              <w:t>Credit Institutions</w:t>
            </w:r>
          </w:p>
        </w:tc>
        <w:tc>
          <w:tcPr>
            <w:tcW w:w="5523" w:type="dxa"/>
            <w:shd w:val="clear" w:color="auto" w:fill="auto"/>
          </w:tcPr>
          <w:p w14:paraId="4A6BD8EA" w14:textId="258DE057" w:rsidR="004C0BE0" w:rsidRPr="00166D67" w:rsidRDefault="004C0BE0" w:rsidP="004C0BE0">
            <w:pPr>
              <w:jc w:val="left"/>
              <w:rPr>
                <w:sz w:val="17"/>
                <w:szCs w:val="17"/>
              </w:rPr>
            </w:pPr>
            <w:r w:rsidRPr="00166D67">
              <w:rPr>
                <w:sz w:val="17"/>
                <w:szCs w:val="17"/>
              </w:rPr>
              <w:t xml:space="preserve">The EBA, EIOPA and ESMA have issued a joint risk assessment report of the impact of the outbreak of the COVID-19 pandemic on the financial sector. The main concerns are profitability, liquidity challenges and economic and market uncertainty. The report highlights the need to implement policies to </w:t>
            </w:r>
            <w:proofErr w:type="spellStart"/>
            <w:r w:rsidRPr="00166D67">
              <w:rPr>
                <w:sz w:val="17"/>
                <w:szCs w:val="17"/>
              </w:rPr>
              <w:t>i</w:t>
            </w:r>
            <w:proofErr w:type="spellEnd"/>
            <w:r w:rsidRPr="00166D67">
              <w:rPr>
                <w:sz w:val="17"/>
                <w:szCs w:val="17"/>
              </w:rPr>
              <w:t xml:space="preserve">) monitor risk and perform stress testing; ii) foster flexibility where and when needed; iii) provide support to the real economy; iv) stay prepared; and v) supervise digital transformation. </w:t>
            </w:r>
          </w:p>
        </w:tc>
      </w:tr>
      <w:tr w:rsidR="004C0BE0" w:rsidRPr="00166D67" w14:paraId="4186123B" w14:textId="77777777" w:rsidTr="009B7981">
        <w:trPr>
          <w:cantSplit/>
        </w:trPr>
        <w:tc>
          <w:tcPr>
            <w:tcW w:w="1097" w:type="dxa"/>
            <w:shd w:val="clear" w:color="auto" w:fill="auto"/>
          </w:tcPr>
          <w:p w14:paraId="01C6A8AA" w14:textId="01EA8514" w:rsidR="004C0BE0" w:rsidRPr="009B7981" w:rsidRDefault="004C0BE0" w:rsidP="004C0BE0">
            <w:pPr>
              <w:jc w:val="left"/>
              <w:rPr>
                <w:b/>
                <w:sz w:val="17"/>
                <w:szCs w:val="17"/>
              </w:rPr>
            </w:pPr>
            <w:r w:rsidRPr="009B7981">
              <w:rPr>
                <w:b/>
                <w:sz w:val="17"/>
                <w:szCs w:val="17"/>
              </w:rPr>
              <w:t>20 November 2020</w:t>
            </w:r>
          </w:p>
        </w:tc>
        <w:tc>
          <w:tcPr>
            <w:tcW w:w="1880" w:type="dxa"/>
            <w:shd w:val="clear" w:color="auto" w:fill="auto"/>
          </w:tcPr>
          <w:p w14:paraId="3D413D2D" w14:textId="6E8F810F" w:rsidR="004C0BE0" w:rsidRPr="009B7981" w:rsidRDefault="00A324C3" w:rsidP="004C0BE0">
            <w:pPr>
              <w:jc w:val="left"/>
              <w:rPr>
                <w:sz w:val="17"/>
                <w:szCs w:val="17"/>
              </w:rPr>
            </w:pPr>
            <w:hyperlink r:id="rId151" w:history="1">
              <w:r w:rsidR="004C0BE0" w:rsidRPr="009B7981">
                <w:rPr>
                  <w:rStyle w:val="Hyperlink"/>
                  <w:sz w:val="17"/>
                  <w:szCs w:val="17"/>
                </w:rPr>
                <w:t>Banks report a significant use of COVID-19 moratoria and public guarantees</w:t>
              </w:r>
            </w:hyperlink>
          </w:p>
        </w:tc>
        <w:tc>
          <w:tcPr>
            <w:tcW w:w="1819" w:type="dxa"/>
            <w:shd w:val="clear" w:color="auto" w:fill="auto"/>
          </w:tcPr>
          <w:p w14:paraId="0AD4C2C4" w14:textId="77777777" w:rsidR="004C0BE0" w:rsidRPr="009B7981" w:rsidRDefault="004C0BE0" w:rsidP="004C0BE0">
            <w:pPr>
              <w:jc w:val="left"/>
              <w:rPr>
                <w:sz w:val="17"/>
                <w:szCs w:val="17"/>
              </w:rPr>
            </w:pPr>
          </w:p>
        </w:tc>
        <w:tc>
          <w:tcPr>
            <w:tcW w:w="2155" w:type="dxa"/>
            <w:shd w:val="clear" w:color="auto" w:fill="auto"/>
          </w:tcPr>
          <w:p w14:paraId="1F409466" w14:textId="7868716A" w:rsidR="004C0BE0" w:rsidRPr="009B7981" w:rsidRDefault="004C0BE0" w:rsidP="004C0BE0">
            <w:pPr>
              <w:jc w:val="left"/>
              <w:rPr>
                <w:sz w:val="17"/>
                <w:szCs w:val="17"/>
              </w:rPr>
            </w:pPr>
            <w:r w:rsidRPr="009B7981">
              <w:rPr>
                <w:sz w:val="17"/>
                <w:szCs w:val="17"/>
              </w:rPr>
              <w:t>Credit Institutions</w:t>
            </w:r>
          </w:p>
        </w:tc>
        <w:tc>
          <w:tcPr>
            <w:tcW w:w="5523" w:type="dxa"/>
            <w:shd w:val="clear" w:color="auto" w:fill="auto"/>
          </w:tcPr>
          <w:p w14:paraId="0B89D391" w14:textId="526083AF" w:rsidR="004C0BE0" w:rsidRPr="009B7981" w:rsidRDefault="004C0BE0" w:rsidP="004C0BE0">
            <w:pPr>
              <w:jc w:val="left"/>
              <w:rPr>
                <w:sz w:val="17"/>
                <w:szCs w:val="17"/>
              </w:rPr>
            </w:pPr>
            <w:r w:rsidRPr="009B7981">
              <w:rPr>
                <w:sz w:val="17"/>
                <w:szCs w:val="17"/>
              </w:rPr>
              <w:t>On 20 November 2020, the EBA published its first assessment of the use of COVID-19 moratoria and public guarantees across the EU banking sector. The results showed that the measures provided breathing space to borrowers, particularly in the SME and commercial real estate sectors, and that public guarantees were used less but allowed banks to lend to new companies affected by the pandemic. Certain measures have been automatically extended across the EU due to the second wave. The EBA will continue to closely monitor developments.</w:t>
            </w:r>
          </w:p>
        </w:tc>
      </w:tr>
      <w:tr w:rsidR="004C0BE0" w:rsidRPr="00166D67" w14:paraId="219BD14D" w14:textId="77777777" w:rsidTr="009B7981">
        <w:trPr>
          <w:cantSplit/>
        </w:trPr>
        <w:tc>
          <w:tcPr>
            <w:tcW w:w="1097" w:type="dxa"/>
            <w:shd w:val="clear" w:color="auto" w:fill="auto"/>
          </w:tcPr>
          <w:p w14:paraId="078620DB" w14:textId="73BF0072" w:rsidR="004C0BE0" w:rsidRPr="009B7981" w:rsidRDefault="004C0BE0" w:rsidP="004C0BE0">
            <w:pPr>
              <w:jc w:val="left"/>
              <w:rPr>
                <w:b/>
                <w:sz w:val="17"/>
                <w:szCs w:val="17"/>
              </w:rPr>
            </w:pPr>
            <w:r w:rsidRPr="009B7981">
              <w:rPr>
                <w:b/>
                <w:sz w:val="17"/>
                <w:szCs w:val="17"/>
              </w:rPr>
              <w:t>2 December 2020</w:t>
            </w:r>
          </w:p>
        </w:tc>
        <w:tc>
          <w:tcPr>
            <w:tcW w:w="1880" w:type="dxa"/>
            <w:shd w:val="clear" w:color="auto" w:fill="auto"/>
          </w:tcPr>
          <w:p w14:paraId="3FA73179" w14:textId="40B03201" w:rsidR="004C0BE0" w:rsidRPr="009B7981" w:rsidRDefault="00A324C3" w:rsidP="004C0BE0">
            <w:pPr>
              <w:jc w:val="left"/>
              <w:rPr>
                <w:sz w:val="17"/>
                <w:szCs w:val="17"/>
              </w:rPr>
            </w:pPr>
            <w:hyperlink r:id="rId152" w:history="1">
              <w:r w:rsidR="004C0BE0" w:rsidRPr="009B7981">
                <w:rPr>
                  <w:rStyle w:val="Hyperlink"/>
                  <w:sz w:val="17"/>
                  <w:szCs w:val="17"/>
                </w:rPr>
                <w:t>The EBA reactivates its Guidelines on legislative and non-legislative moratoria</w:t>
              </w:r>
            </w:hyperlink>
          </w:p>
        </w:tc>
        <w:tc>
          <w:tcPr>
            <w:tcW w:w="1819" w:type="dxa"/>
            <w:shd w:val="clear" w:color="auto" w:fill="auto"/>
          </w:tcPr>
          <w:p w14:paraId="0C21C67A" w14:textId="77777777" w:rsidR="004C0BE0" w:rsidRPr="009B7981" w:rsidRDefault="004C0BE0" w:rsidP="004C0BE0">
            <w:pPr>
              <w:jc w:val="left"/>
              <w:rPr>
                <w:sz w:val="17"/>
                <w:szCs w:val="17"/>
              </w:rPr>
            </w:pPr>
          </w:p>
        </w:tc>
        <w:tc>
          <w:tcPr>
            <w:tcW w:w="2155" w:type="dxa"/>
            <w:shd w:val="clear" w:color="auto" w:fill="auto"/>
          </w:tcPr>
          <w:p w14:paraId="06C7EFCB" w14:textId="33488A06" w:rsidR="004C0BE0" w:rsidRPr="009B7981" w:rsidRDefault="004C0BE0" w:rsidP="004C0BE0">
            <w:pPr>
              <w:jc w:val="left"/>
              <w:rPr>
                <w:sz w:val="17"/>
                <w:szCs w:val="17"/>
              </w:rPr>
            </w:pPr>
            <w:r w:rsidRPr="009B7981">
              <w:rPr>
                <w:sz w:val="17"/>
                <w:szCs w:val="17"/>
              </w:rPr>
              <w:t>Credit Institutions</w:t>
            </w:r>
          </w:p>
        </w:tc>
        <w:tc>
          <w:tcPr>
            <w:tcW w:w="5523" w:type="dxa"/>
            <w:shd w:val="clear" w:color="auto" w:fill="auto"/>
          </w:tcPr>
          <w:p w14:paraId="3F46FE6F" w14:textId="4506ED5C" w:rsidR="004C0BE0" w:rsidRPr="009B7981" w:rsidRDefault="004C0BE0" w:rsidP="004C0BE0">
            <w:pPr>
              <w:jc w:val="left"/>
              <w:rPr>
                <w:sz w:val="17"/>
                <w:szCs w:val="17"/>
              </w:rPr>
            </w:pPr>
            <w:r w:rsidRPr="009B7981">
              <w:rPr>
                <w:sz w:val="17"/>
                <w:szCs w:val="17"/>
              </w:rPr>
              <w:t xml:space="preserve">On 20 December 2020, the EBA announced its decision to reactivate its guidelines on payment moratoria. The revised Guidelines will apply until 31 March 2021. This decision means that where national payment moratoria meets certain EBA conditions, banks granting such payment breaks won't have to automatically reclassify exposures as forborne or defaulted. However, the extension comes with stricter conditions than before including: </w:t>
            </w:r>
            <w:proofErr w:type="spellStart"/>
            <w:r w:rsidRPr="009B7981">
              <w:rPr>
                <w:sz w:val="17"/>
                <w:szCs w:val="17"/>
              </w:rPr>
              <w:t>i</w:t>
            </w:r>
            <w:proofErr w:type="spellEnd"/>
            <w:r w:rsidRPr="009B7981">
              <w:rPr>
                <w:sz w:val="17"/>
                <w:szCs w:val="17"/>
              </w:rPr>
              <w:t xml:space="preserve">) a cap of 9 months on the maximum duration of any individual payment break; and ii) requiring banks to notify the national competent authority of their plan on how to assess the unlikeliness to pay for the exposures subject to the payment break. The EBA has enhanced its disclosure requirements related to the use of public moratoria and continues to closely monitor the situation. </w:t>
            </w:r>
          </w:p>
        </w:tc>
      </w:tr>
      <w:tr w:rsidR="004C0BE0" w:rsidRPr="00166D67" w14:paraId="119A0471" w14:textId="77777777" w:rsidTr="001C278A">
        <w:trPr>
          <w:cantSplit/>
        </w:trPr>
        <w:tc>
          <w:tcPr>
            <w:tcW w:w="1097" w:type="dxa"/>
            <w:shd w:val="clear" w:color="auto" w:fill="auto"/>
          </w:tcPr>
          <w:p w14:paraId="27C7B49D" w14:textId="22D8F8FF" w:rsidR="004C0BE0" w:rsidRPr="009B7981" w:rsidRDefault="004C0BE0" w:rsidP="004C0BE0">
            <w:pPr>
              <w:jc w:val="left"/>
              <w:rPr>
                <w:b/>
                <w:sz w:val="17"/>
                <w:szCs w:val="17"/>
              </w:rPr>
            </w:pPr>
            <w:r>
              <w:rPr>
                <w:b/>
                <w:sz w:val="17"/>
                <w:szCs w:val="17"/>
              </w:rPr>
              <w:t>11 December 2020</w:t>
            </w:r>
          </w:p>
        </w:tc>
        <w:tc>
          <w:tcPr>
            <w:tcW w:w="1880" w:type="dxa"/>
            <w:shd w:val="clear" w:color="auto" w:fill="auto"/>
          </w:tcPr>
          <w:p w14:paraId="3368BA16" w14:textId="18F2E87E" w:rsidR="004C0BE0" w:rsidRPr="00737127" w:rsidRDefault="00A324C3" w:rsidP="004C0BE0">
            <w:pPr>
              <w:jc w:val="left"/>
              <w:rPr>
                <w:sz w:val="17"/>
                <w:szCs w:val="17"/>
              </w:rPr>
            </w:pPr>
            <w:hyperlink r:id="rId153" w:history="1">
              <w:r w:rsidR="004C0BE0" w:rsidRPr="00737127">
                <w:rPr>
                  <w:rStyle w:val="Hyperlink"/>
                  <w:sz w:val="17"/>
                  <w:szCs w:val="17"/>
                </w:rPr>
                <w:t>EBA confirms banks' solid capital and liquidity positions but warns about asset quality prospects and structurally low profitability</w:t>
              </w:r>
            </w:hyperlink>
            <w:r w:rsidR="004C0BE0" w:rsidRPr="00737127">
              <w:rPr>
                <w:sz w:val="17"/>
                <w:szCs w:val="17"/>
              </w:rPr>
              <w:t xml:space="preserve"> </w:t>
            </w:r>
          </w:p>
        </w:tc>
        <w:tc>
          <w:tcPr>
            <w:tcW w:w="1819" w:type="dxa"/>
            <w:shd w:val="clear" w:color="auto" w:fill="auto"/>
          </w:tcPr>
          <w:p w14:paraId="53B7A9AB" w14:textId="77777777" w:rsidR="004C0BE0" w:rsidRPr="009B7981" w:rsidRDefault="004C0BE0" w:rsidP="004C0BE0">
            <w:pPr>
              <w:jc w:val="left"/>
              <w:rPr>
                <w:sz w:val="17"/>
                <w:szCs w:val="17"/>
              </w:rPr>
            </w:pPr>
          </w:p>
        </w:tc>
        <w:tc>
          <w:tcPr>
            <w:tcW w:w="2155" w:type="dxa"/>
            <w:shd w:val="clear" w:color="auto" w:fill="auto"/>
          </w:tcPr>
          <w:p w14:paraId="47F4F07E" w14:textId="2F1AA75D" w:rsidR="004C0BE0" w:rsidRPr="009B7981" w:rsidRDefault="004C0BE0" w:rsidP="004C0BE0">
            <w:pPr>
              <w:jc w:val="left"/>
              <w:rPr>
                <w:sz w:val="17"/>
                <w:szCs w:val="17"/>
              </w:rPr>
            </w:pPr>
            <w:r>
              <w:rPr>
                <w:sz w:val="17"/>
                <w:szCs w:val="17"/>
              </w:rPr>
              <w:t>Credit Institutions</w:t>
            </w:r>
          </w:p>
        </w:tc>
        <w:tc>
          <w:tcPr>
            <w:tcW w:w="5523" w:type="dxa"/>
            <w:shd w:val="clear" w:color="auto" w:fill="auto"/>
          </w:tcPr>
          <w:p w14:paraId="1ABAF6C8" w14:textId="4DFE1EC7" w:rsidR="004C0BE0" w:rsidRPr="009B7981" w:rsidRDefault="004C0BE0" w:rsidP="004C0BE0">
            <w:pPr>
              <w:jc w:val="left"/>
              <w:rPr>
                <w:sz w:val="17"/>
                <w:szCs w:val="17"/>
              </w:rPr>
            </w:pPr>
            <w:r>
              <w:rPr>
                <w:sz w:val="17"/>
                <w:szCs w:val="17"/>
              </w:rPr>
              <w:t xml:space="preserve">On 11 December 2020, the EBA published its annual Risk Assessment of the European banking system, along with its 2020 EU-wide transparency exercise providing comparable information for 129 banks across </w:t>
            </w:r>
            <w:proofErr w:type="gramStart"/>
            <w:r>
              <w:rPr>
                <w:sz w:val="17"/>
                <w:szCs w:val="17"/>
              </w:rPr>
              <w:t>26  EEA</w:t>
            </w:r>
            <w:proofErr w:type="gramEnd"/>
            <w:r>
              <w:rPr>
                <w:sz w:val="17"/>
                <w:szCs w:val="17"/>
              </w:rPr>
              <w:t xml:space="preserve">/EU countries and 6 UK banks. The Risk Assessment shows that despite COVID-19 and the affect this has had on the system, banks appear to have maintained solid capital and liquidity rates by increasing their lending to the real economy. However, the Risk Assessment also warns of record low levels of profitability and the possibility of deterioration in asset quality as economic uncertainty persists. </w:t>
            </w:r>
          </w:p>
        </w:tc>
      </w:tr>
      <w:tr w:rsidR="004C0BE0" w:rsidRPr="00166D67" w14:paraId="7B28C771" w14:textId="77777777" w:rsidTr="001C278A">
        <w:trPr>
          <w:cantSplit/>
        </w:trPr>
        <w:tc>
          <w:tcPr>
            <w:tcW w:w="1097" w:type="dxa"/>
            <w:shd w:val="clear" w:color="auto" w:fill="auto"/>
          </w:tcPr>
          <w:p w14:paraId="150B43BB" w14:textId="72F36455" w:rsidR="004C0BE0" w:rsidRDefault="004C0BE0" w:rsidP="004C0BE0">
            <w:pPr>
              <w:jc w:val="left"/>
              <w:rPr>
                <w:b/>
                <w:sz w:val="17"/>
                <w:szCs w:val="17"/>
              </w:rPr>
            </w:pPr>
            <w:r>
              <w:rPr>
                <w:b/>
                <w:sz w:val="17"/>
                <w:szCs w:val="17"/>
              </w:rPr>
              <w:t>15 December 2020</w:t>
            </w:r>
          </w:p>
        </w:tc>
        <w:tc>
          <w:tcPr>
            <w:tcW w:w="1880" w:type="dxa"/>
            <w:shd w:val="clear" w:color="auto" w:fill="auto"/>
          </w:tcPr>
          <w:p w14:paraId="6C321B59" w14:textId="010622E8" w:rsidR="004C0BE0" w:rsidRPr="00CE56C1" w:rsidRDefault="00A324C3" w:rsidP="004C0BE0">
            <w:pPr>
              <w:jc w:val="left"/>
              <w:rPr>
                <w:sz w:val="17"/>
                <w:szCs w:val="17"/>
              </w:rPr>
            </w:pPr>
            <w:hyperlink r:id="rId154" w:history="1">
              <w:r w:rsidR="004C0BE0" w:rsidRPr="00CE56C1">
                <w:rPr>
                  <w:rStyle w:val="Hyperlink"/>
                  <w:sz w:val="17"/>
                  <w:szCs w:val="17"/>
                </w:rPr>
                <w:t>EBA continues to call on banks to apply a conservative approach on dividends and other distributions in light of the COVID-19 pandemic</w:t>
              </w:r>
            </w:hyperlink>
          </w:p>
        </w:tc>
        <w:tc>
          <w:tcPr>
            <w:tcW w:w="1819" w:type="dxa"/>
            <w:shd w:val="clear" w:color="auto" w:fill="auto"/>
          </w:tcPr>
          <w:p w14:paraId="59500AEF" w14:textId="77777777" w:rsidR="004C0BE0" w:rsidRPr="009B7981" w:rsidRDefault="004C0BE0" w:rsidP="004C0BE0">
            <w:pPr>
              <w:jc w:val="left"/>
              <w:rPr>
                <w:sz w:val="17"/>
                <w:szCs w:val="17"/>
              </w:rPr>
            </w:pPr>
          </w:p>
        </w:tc>
        <w:tc>
          <w:tcPr>
            <w:tcW w:w="2155" w:type="dxa"/>
            <w:shd w:val="clear" w:color="auto" w:fill="auto"/>
          </w:tcPr>
          <w:p w14:paraId="6EC05859" w14:textId="6AACB3CC" w:rsidR="004C0BE0" w:rsidRDefault="004C0BE0" w:rsidP="004C0BE0">
            <w:pPr>
              <w:jc w:val="left"/>
              <w:rPr>
                <w:sz w:val="17"/>
                <w:szCs w:val="17"/>
              </w:rPr>
            </w:pPr>
            <w:r>
              <w:rPr>
                <w:sz w:val="17"/>
                <w:szCs w:val="17"/>
              </w:rPr>
              <w:t>Credit Institutions</w:t>
            </w:r>
          </w:p>
        </w:tc>
        <w:tc>
          <w:tcPr>
            <w:tcW w:w="5523" w:type="dxa"/>
            <w:shd w:val="clear" w:color="auto" w:fill="auto"/>
          </w:tcPr>
          <w:p w14:paraId="640A5341" w14:textId="2AABE3B0" w:rsidR="004C0BE0" w:rsidRDefault="004C0BE0" w:rsidP="004C0BE0">
            <w:pPr>
              <w:jc w:val="left"/>
              <w:rPr>
                <w:sz w:val="17"/>
                <w:szCs w:val="17"/>
              </w:rPr>
            </w:pPr>
            <w:r>
              <w:rPr>
                <w:sz w:val="17"/>
                <w:szCs w:val="17"/>
              </w:rPr>
              <w:t xml:space="preserve">On 12 March, the EBA asked banks to follow conservative distribution polices. In light of the continuing economic uncertainty, on 15 December, the EBA asked banks to </w:t>
            </w:r>
            <w:r w:rsidRPr="00CE0D41">
              <w:rPr>
                <w:sz w:val="17"/>
                <w:szCs w:val="17"/>
              </w:rPr>
              <w:t xml:space="preserve">refrain from distributing capital outside the banking system when deciding on dividends and other distribution polices, including share buybacks, </w:t>
            </w:r>
            <w:r>
              <w:rPr>
                <w:sz w:val="17"/>
                <w:szCs w:val="17"/>
              </w:rPr>
              <w:t>or to exercise</w:t>
            </w:r>
            <w:r w:rsidRPr="00CE0D41">
              <w:rPr>
                <w:sz w:val="17"/>
                <w:szCs w:val="17"/>
              </w:rPr>
              <w:t xml:space="preserve"> extreme caution.</w:t>
            </w:r>
            <w:r>
              <w:rPr>
                <w:sz w:val="17"/>
                <w:szCs w:val="17"/>
              </w:rPr>
              <w:t xml:space="preserve"> The EBA has asked competent authorities to continue to monitor remuneration polices and the EBA has committed to promote coordination among competent authorities, as necessary, so as to ensure an EU level playing field. </w:t>
            </w:r>
          </w:p>
        </w:tc>
      </w:tr>
      <w:tr w:rsidR="004C0BE0" w:rsidRPr="00166D67" w14:paraId="416E0D8C" w14:textId="77777777" w:rsidTr="001C278A">
        <w:trPr>
          <w:cantSplit/>
        </w:trPr>
        <w:tc>
          <w:tcPr>
            <w:tcW w:w="1097" w:type="dxa"/>
            <w:shd w:val="clear" w:color="auto" w:fill="auto"/>
          </w:tcPr>
          <w:p w14:paraId="6ECBA2D8" w14:textId="2407AA14" w:rsidR="004C0BE0" w:rsidRDefault="004C0BE0" w:rsidP="004C0BE0">
            <w:pPr>
              <w:jc w:val="left"/>
              <w:rPr>
                <w:b/>
                <w:sz w:val="17"/>
                <w:szCs w:val="17"/>
              </w:rPr>
            </w:pPr>
            <w:r>
              <w:rPr>
                <w:b/>
                <w:sz w:val="17"/>
                <w:szCs w:val="17"/>
              </w:rPr>
              <w:t>16 December 2020</w:t>
            </w:r>
          </w:p>
        </w:tc>
        <w:tc>
          <w:tcPr>
            <w:tcW w:w="1880" w:type="dxa"/>
            <w:shd w:val="clear" w:color="auto" w:fill="auto"/>
          </w:tcPr>
          <w:p w14:paraId="15332D82" w14:textId="4E614FD0" w:rsidR="004C0BE0" w:rsidRPr="00CE56C1" w:rsidRDefault="00A324C3" w:rsidP="004C0BE0">
            <w:pPr>
              <w:jc w:val="left"/>
              <w:rPr>
                <w:sz w:val="17"/>
                <w:szCs w:val="17"/>
              </w:rPr>
            </w:pPr>
            <w:hyperlink r:id="rId155" w:history="1">
              <w:r w:rsidR="004C0BE0" w:rsidRPr="00CE56C1">
                <w:rPr>
                  <w:rStyle w:val="Hyperlink"/>
                  <w:sz w:val="17"/>
                  <w:szCs w:val="17"/>
                </w:rPr>
                <w:t>EBA welcomes European Commission's action plan to tackle NPLs in the aftermath of the COVID-19 pandemic</w:t>
              </w:r>
            </w:hyperlink>
          </w:p>
        </w:tc>
        <w:tc>
          <w:tcPr>
            <w:tcW w:w="1819" w:type="dxa"/>
            <w:shd w:val="clear" w:color="auto" w:fill="auto"/>
          </w:tcPr>
          <w:p w14:paraId="6765A393" w14:textId="77777777" w:rsidR="004C0BE0" w:rsidRPr="009B7981" w:rsidRDefault="004C0BE0" w:rsidP="004C0BE0">
            <w:pPr>
              <w:jc w:val="left"/>
              <w:rPr>
                <w:sz w:val="17"/>
                <w:szCs w:val="17"/>
              </w:rPr>
            </w:pPr>
          </w:p>
        </w:tc>
        <w:tc>
          <w:tcPr>
            <w:tcW w:w="2155" w:type="dxa"/>
            <w:shd w:val="clear" w:color="auto" w:fill="auto"/>
          </w:tcPr>
          <w:p w14:paraId="414125F4" w14:textId="1E767885" w:rsidR="004C0BE0" w:rsidRDefault="004C0BE0" w:rsidP="004C0BE0">
            <w:pPr>
              <w:jc w:val="left"/>
              <w:rPr>
                <w:sz w:val="17"/>
                <w:szCs w:val="17"/>
              </w:rPr>
            </w:pPr>
            <w:r w:rsidRPr="00166D67">
              <w:rPr>
                <w:sz w:val="17"/>
                <w:szCs w:val="17"/>
              </w:rPr>
              <w:t>All Regulated Financial Services Providers</w:t>
            </w:r>
          </w:p>
        </w:tc>
        <w:tc>
          <w:tcPr>
            <w:tcW w:w="5523" w:type="dxa"/>
            <w:shd w:val="clear" w:color="auto" w:fill="auto"/>
          </w:tcPr>
          <w:p w14:paraId="7B59DC86" w14:textId="37E7C6B5" w:rsidR="004C0BE0" w:rsidRDefault="004C0BE0" w:rsidP="004C0BE0">
            <w:pPr>
              <w:jc w:val="left"/>
              <w:rPr>
                <w:sz w:val="17"/>
                <w:szCs w:val="17"/>
              </w:rPr>
            </w:pPr>
            <w:r>
              <w:rPr>
                <w:sz w:val="17"/>
                <w:szCs w:val="17"/>
              </w:rPr>
              <w:t>The EBA has announced its support of the European Commission's comprehensive action plan to tackle the expected rise of non-performing loans (</w:t>
            </w:r>
            <w:r w:rsidRPr="00CE56C1">
              <w:rPr>
                <w:b/>
                <w:sz w:val="17"/>
                <w:szCs w:val="17"/>
              </w:rPr>
              <w:t>NPLs</w:t>
            </w:r>
            <w:r>
              <w:rPr>
                <w:sz w:val="17"/>
                <w:szCs w:val="17"/>
              </w:rPr>
              <w:t>) following the pandemic. The EBA has been asked to assist by improving data quality and comparability, enhancing transparency and market discipline under Pillar 3 rules and addressing regulatory impediments to NPL purchases. The EBA is committed to assisting with Commission while continuing its own regulatory and supervisory work on EU NPLs.</w:t>
            </w:r>
          </w:p>
        </w:tc>
      </w:tr>
      <w:tr w:rsidR="004C0BE0" w:rsidRPr="00166D67" w14:paraId="301897FF" w14:textId="77777777" w:rsidTr="001C278A">
        <w:trPr>
          <w:cantSplit/>
        </w:trPr>
        <w:tc>
          <w:tcPr>
            <w:tcW w:w="1097" w:type="dxa"/>
            <w:shd w:val="clear" w:color="auto" w:fill="auto"/>
          </w:tcPr>
          <w:p w14:paraId="2F657308" w14:textId="42735047" w:rsidR="004C0BE0" w:rsidRPr="000D5894" w:rsidRDefault="004C0BE0" w:rsidP="004C0BE0">
            <w:pPr>
              <w:jc w:val="left"/>
              <w:rPr>
                <w:b/>
                <w:sz w:val="17"/>
                <w:szCs w:val="17"/>
              </w:rPr>
            </w:pPr>
            <w:r w:rsidRPr="000D5894">
              <w:rPr>
                <w:b/>
                <w:sz w:val="17"/>
                <w:szCs w:val="17"/>
              </w:rPr>
              <w:t>21 December 2020</w:t>
            </w:r>
          </w:p>
        </w:tc>
        <w:tc>
          <w:tcPr>
            <w:tcW w:w="1880" w:type="dxa"/>
            <w:shd w:val="clear" w:color="auto" w:fill="auto"/>
          </w:tcPr>
          <w:p w14:paraId="61FABADE" w14:textId="0F7DC5FE" w:rsidR="004C0BE0" w:rsidRPr="000D5894" w:rsidRDefault="00A324C3" w:rsidP="004C0BE0">
            <w:pPr>
              <w:jc w:val="left"/>
              <w:rPr>
                <w:sz w:val="17"/>
                <w:szCs w:val="17"/>
              </w:rPr>
            </w:pPr>
            <w:hyperlink r:id="rId156" w:history="1">
              <w:r w:rsidR="004C0BE0" w:rsidRPr="000D5894">
                <w:rPr>
                  <w:rStyle w:val="Hyperlink"/>
                  <w:sz w:val="17"/>
                  <w:szCs w:val="17"/>
                </w:rPr>
                <w:t>EBA provides additional clarity on the implementation of selected COVID-19 policies</w:t>
              </w:r>
            </w:hyperlink>
          </w:p>
        </w:tc>
        <w:tc>
          <w:tcPr>
            <w:tcW w:w="1819" w:type="dxa"/>
            <w:shd w:val="clear" w:color="auto" w:fill="auto"/>
          </w:tcPr>
          <w:p w14:paraId="6ADFC2FE" w14:textId="77777777" w:rsidR="004C0BE0" w:rsidRPr="000D5894" w:rsidRDefault="004C0BE0" w:rsidP="004C0BE0">
            <w:pPr>
              <w:jc w:val="left"/>
              <w:rPr>
                <w:sz w:val="17"/>
                <w:szCs w:val="17"/>
              </w:rPr>
            </w:pPr>
          </w:p>
        </w:tc>
        <w:tc>
          <w:tcPr>
            <w:tcW w:w="2155" w:type="dxa"/>
            <w:shd w:val="clear" w:color="auto" w:fill="auto"/>
          </w:tcPr>
          <w:p w14:paraId="25487D24" w14:textId="7D121099" w:rsidR="004C0BE0" w:rsidRPr="000D5894" w:rsidRDefault="004C0BE0" w:rsidP="004C0BE0">
            <w:pPr>
              <w:jc w:val="left"/>
              <w:rPr>
                <w:sz w:val="17"/>
                <w:szCs w:val="17"/>
              </w:rPr>
            </w:pPr>
            <w:r w:rsidRPr="000D5894">
              <w:rPr>
                <w:sz w:val="17"/>
                <w:szCs w:val="17"/>
              </w:rPr>
              <w:t>All Regulated Financial Services Providers</w:t>
            </w:r>
          </w:p>
        </w:tc>
        <w:tc>
          <w:tcPr>
            <w:tcW w:w="5523" w:type="dxa"/>
            <w:shd w:val="clear" w:color="auto" w:fill="auto"/>
          </w:tcPr>
          <w:p w14:paraId="68F59316" w14:textId="13D3B5EE" w:rsidR="004C0BE0" w:rsidRPr="000D5894" w:rsidRDefault="004C0BE0" w:rsidP="004C0BE0">
            <w:pPr>
              <w:jc w:val="left"/>
              <w:rPr>
                <w:sz w:val="17"/>
                <w:szCs w:val="17"/>
              </w:rPr>
            </w:pPr>
            <w:r w:rsidRPr="000D5894">
              <w:rPr>
                <w:sz w:val="17"/>
                <w:szCs w:val="17"/>
              </w:rPr>
              <w:t xml:space="preserve">On 7 August 2020, the EBA published an EBA Report on COVID-19 implementation policies. The EBA has now published additional clarifications to the FAQ section of such report following a number of issues raised. The clarifications cover the EBA Guidelines on moratoria and COVID-19 reporting, operational risk, downturn LGD estimation and the credit risk mitigation framework. </w:t>
            </w:r>
          </w:p>
        </w:tc>
      </w:tr>
      <w:tr w:rsidR="00407D0A" w:rsidRPr="00166D67" w14:paraId="2601C98F" w14:textId="77777777" w:rsidTr="001C278A">
        <w:trPr>
          <w:cantSplit/>
        </w:trPr>
        <w:tc>
          <w:tcPr>
            <w:tcW w:w="1097" w:type="dxa"/>
            <w:shd w:val="clear" w:color="auto" w:fill="auto"/>
          </w:tcPr>
          <w:p w14:paraId="6BF682C6" w14:textId="2614FE98" w:rsidR="00407D0A" w:rsidRPr="000218B2" w:rsidRDefault="00407D0A" w:rsidP="00407D0A">
            <w:pPr>
              <w:jc w:val="left"/>
              <w:rPr>
                <w:b/>
                <w:sz w:val="17"/>
                <w:szCs w:val="17"/>
              </w:rPr>
            </w:pPr>
            <w:r w:rsidRPr="000218B2">
              <w:rPr>
                <w:b/>
                <w:sz w:val="17"/>
                <w:szCs w:val="17"/>
              </w:rPr>
              <w:t>13 January 2021</w:t>
            </w:r>
          </w:p>
        </w:tc>
        <w:tc>
          <w:tcPr>
            <w:tcW w:w="1880" w:type="dxa"/>
            <w:shd w:val="clear" w:color="auto" w:fill="auto"/>
          </w:tcPr>
          <w:p w14:paraId="6B03E7EE" w14:textId="0E77C26C" w:rsidR="00407D0A" w:rsidRPr="000218B2" w:rsidRDefault="00A324C3" w:rsidP="00407D0A">
            <w:pPr>
              <w:jc w:val="left"/>
            </w:pPr>
            <w:hyperlink r:id="rId157" w:history="1">
              <w:r w:rsidR="00407D0A" w:rsidRPr="000218B2">
                <w:rPr>
                  <w:rStyle w:val="Hyperlink"/>
                  <w:sz w:val="17"/>
                  <w:szCs w:val="17"/>
                </w:rPr>
                <w:t>EBA points to a further rise in capital and leverage ratios, whereas profitability remains strongly subdued</w:t>
              </w:r>
            </w:hyperlink>
          </w:p>
        </w:tc>
        <w:tc>
          <w:tcPr>
            <w:tcW w:w="1819" w:type="dxa"/>
            <w:shd w:val="clear" w:color="auto" w:fill="auto"/>
          </w:tcPr>
          <w:p w14:paraId="0FE574FF" w14:textId="77777777" w:rsidR="00407D0A" w:rsidRPr="000218B2" w:rsidRDefault="00407D0A" w:rsidP="00407D0A">
            <w:pPr>
              <w:jc w:val="left"/>
              <w:rPr>
                <w:sz w:val="17"/>
                <w:szCs w:val="17"/>
              </w:rPr>
            </w:pPr>
          </w:p>
        </w:tc>
        <w:tc>
          <w:tcPr>
            <w:tcW w:w="2155" w:type="dxa"/>
            <w:shd w:val="clear" w:color="auto" w:fill="auto"/>
          </w:tcPr>
          <w:p w14:paraId="70C624E3" w14:textId="236A5B5D" w:rsidR="00407D0A" w:rsidRPr="000218B2" w:rsidRDefault="00407D0A" w:rsidP="00407D0A">
            <w:pPr>
              <w:jc w:val="left"/>
              <w:rPr>
                <w:sz w:val="17"/>
                <w:szCs w:val="17"/>
              </w:rPr>
            </w:pPr>
            <w:r w:rsidRPr="000218B2">
              <w:rPr>
                <w:sz w:val="17"/>
                <w:szCs w:val="17"/>
              </w:rPr>
              <w:t>Credit Institutions</w:t>
            </w:r>
          </w:p>
        </w:tc>
        <w:tc>
          <w:tcPr>
            <w:tcW w:w="5523" w:type="dxa"/>
            <w:shd w:val="clear" w:color="auto" w:fill="auto"/>
          </w:tcPr>
          <w:p w14:paraId="7C8218E3" w14:textId="423FC61E" w:rsidR="00407D0A" w:rsidRPr="000218B2" w:rsidRDefault="00407D0A" w:rsidP="00407D0A">
            <w:pPr>
              <w:jc w:val="left"/>
              <w:rPr>
                <w:sz w:val="17"/>
                <w:szCs w:val="17"/>
              </w:rPr>
            </w:pPr>
            <w:r w:rsidRPr="000218B2">
              <w:rPr>
                <w:sz w:val="17"/>
                <w:szCs w:val="17"/>
              </w:rPr>
              <w:t xml:space="preserve">The EBA has published its quarterly Risk Dashboard along with the results of the Risk Assessment Questionnaire (RAQ). The data for Q3 demonstrates a rise in capital ratios, an improvement in the MPL ratio and a return on equity which remained significantly below banks’ cost of equity. Data on moratoria and public guarantee schemes has also been included in the Risk Dashboard for the first time. </w:t>
            </w:r>
          </w:p>
        </w:tc>
      </w:tr>
      <w:tr w:rsidR="00444F43" w:rsidRPr="00166D67" w14:paraId="62CDE88B" w14:textId="77777777" w:rsidTr="001C278A">
        <w:trPr>
          <w:cantSplit/>
        </w:trPr>
        <w:tc>
          <w:tcPr>
            <w:tcW w:w="1097" w:type="dxa"/>
            <w:shd w:val="clear" w:color="auto" w:fill="auto"/>
          </w:tcPr>
          <w:p w14:paraId="6C99638F" w14:textId="7057712B" w:rsidR="00444F43" w:rsidRPr="003E2A86" w:rsidRDefault="00D15311" w:rsidP="00407D0A">
            <w:pPr>
              <w:jc w:val="left"/>
              <w:rPr>
                <w:b/>
                <w:sz w:val="17"/>
                <w:szCs w:val="17"/>
              </w:rPr>
            </w:pPr>
            <w:r w:rsidRPr="003E2A86">
              <w:rPr>
                <w:b/>
                <w:sz w:val="17"/>
                <w:szCs w:val="17"/>
              </w:rPr>
              <w:t>29 January 2021</w:t>
            </w:r>
          </w:p>
        </w:tc>
        <w:tc>
          <w:tcPr>
            <w:tcW w:w="1880" w:type="dxa"/>
            <w:shd w:val="clear" w:color="auto" w:fill="auto"/>
          </w:tcPr>
          <w:p w14:paraId="538D51AB" w14:textId="35D36252" w:rsidR="00444F43" w:rsidRPr="003E2A86" w:rsidRDefault="00A324C3" w:rsidP="00407D0A">
            <w:pPr>
              <w:jc w:val="left"/>
              <w:rPr>
                <w:sz w:val="17"/>
                <w:szCs w:val="17"/>
              </w:rPr>
            </w:pPr>
            <w:hyperlink r:id="rId158" w:history="1">
              <w:r w:rsidR="00444F43" w:rsidRPr="003E2A86">
                <w:rPr>
                  <w:rStyle w:val="Hyperlink"/>
                  <w:sz w:val="17"/>
                  <w:szCs w:val="17"/>
                </w:rPr>
                <w:t>EBA provides additional clarity on the implementation of selected COVID-19 policies</w:t>
              </w:r>
            </w:hyperlink>
          </w:p>
        </w:tc>
        <w:tc>
          <w:tcPr>
            <w:tcW w:w="1819" w:type="dxa"/>
            <w:shd w:val="clear" w:color="auto" w:fill="auto"/>
          </w:tcPr>
          <w:p w14:paraId="6F82FC89" w14:textId="77777777" w:rsidR="00444F43" w:rsidRPr="003E2A86" w:rsidRDefault="00444F43" w:rsidP="00407D0A">
            <w:pPr>
              <w:jc w:val="left"/>
              <w:rPr>
                <w:sz w:val="17"/>
                <w:szCs w:val="17"/>
              </w:rPr>
            </w:pPr>
          </w:p>
        </w:tc>
        <w:tc>
          <w:tcPr>
            <w:tcW w:w="2155" w:type="dxa"/>
            <w:shd w:val="clear" w:color="auto" w:fill="auto"/>
          </w:tcPr>
          <w:p w14:paraId="0F1F17CC" w14:textId="4B9030A3" w:rsidR="00444F43" w:rsidRPr="003E2A86" w:rsidRDefault="00D15311" w:rsidP="00407D0A">
            <w:pPr>
              <w:jc w:val="left"/>
              <w:rPr>
                <w:sz w:val="17"/>
                <w:szCs w:val="17"/>
              </w:rPr>
            </w:pPr>
            <w:r w:rsidRPr="003E2A86">
              <w:rPr>
                <w:sz w:val="17"/>
                <w:szCs w:val="17"/>
              </w:rPr>
              <w:t>Credit Institutions</w:t>
            </w:r>
          </w:p>
        </w:tc>
        <w:tc>
          <w:tcPr>
            <w:tcW w:w="5523" w:type="dxa"/>
            <w:shd w:val="clear" w:color="auto" w:fill="auto"/>
          </w:tcPr>
          <w:p w14:paraId="0A86D669" w14:textId="77777777" w:rsidR="00444F43" w:rsidRDefault="00444F43" w:rsidP="003622AF">
            <w:pPr>
              <w:jc w:val="left"/>
              <w:rPr>
                <w:sz w:val="17"/>
                <w:szCs w:val="17"/>
              </w:rPr>
            </w:pPr>
            <w:r w:rsidRPr="003E2A86">
              <w:rPr>
                <w:sz w:val="17"/>
                <w:szCs w:val="17"/>
              </w:rPr>
              <w:t>In response to issues raised as a result of the COVID-19 pandemic, the EBA has published additional clarification on the application of the prudential framework. The FAQ section of the EBA Report on COVID-19 implementation policies has been updated to provide clarity in relation to the implementation of the EBA Guidelines on moratoria and the EBA Guidelines on COVID-19 reporting and disclosure. The report forms part of the EBA's wider monitoring of the implementation of COVID-19 policies as well as the application of existing policies during the pandemic. The Report has been updated to include additional clarifications in relation to the application of the Guidelines on moratoria related to the recent re-activation of the EBA guidelines on payment moratoria. The updates have clarified the functioning of the 9-month cap (the time limit for which payments on a certain loan can be suspended, postponed or reduced as a result of the application (and reapplication) of general payment moratoria). The</w:t>
            </w:r>
            <w:r w:rsidR="003622AF" w:rsidRPr="003E2A86">
              <w:rPr>
                <w:sz w:val="17"/>
                <w:szCs w:val="17"/>
              </w:rPr>
              <w:t xml:space="preserve"> updated report clarifies how the Guidelines on moratoria should be applied when assessing forbearance classification and sets out how to consider whether there is a diminished financial obligation in relation to moratoria applied to loans exceeding the 9-month cap. The updated report also provides additional guidance as to the reporting and disclosure requirements which apply in relation to expired moratoria.</w:t>
            </w:r>
          </w:p>
          <w:p w14:paraId="29A63DB7" w14:textId="77777777" w:rsidR="008406E0" w:rsidRDefault="008406E0" w:rsidP="003622AF">
            <w:pPr>
              <w:jc w:val="left"/>
              <w:rPr>
                <w:sz w:val="17"/>
                <w:szCs w:val="17"/>
              </w:rPr>
            </w:pPr>
          </w:p>
          <w:p w14:paraId="63997AE0" w14:textId="77777777" w:rsidR="008406E0" w:rsidRDefault="008406E0" w:rsidP="003622AF">
            <w:pPr>
              <w:jc w:val="left"/>
              <w:rPr>
                <w:sz w:val="17"/>
                <w:szCs w:val="17"/>
              </w:rPr>
            </w:pPr>
          </w:p>
          <w:p w14:paraId="692164BC" w14:textId="77777777" w:rsidR="008406E0" w:rsidRDefault="008406E0" w:rsidP="003622AF">
            <w:pPr>
              <w:jc w:val="left"/>
              <w:rPr>
                <w:sz w:val="17"/>
                <w:szCs w:val="17"/>
              </w:rPr>
            </w:pPr>
          </w:p>
          <w:p w14:paraId="607824E6" w14:textId="77777777" w:rsidR="008406E0" w:rsidRDefault="008406E0" w:rsidP="003622AF">
            <w:pPr>
              <w:jc w:val="left"/>
              <w:rPr>
                <w:sz w:val="17"/>
                <w:szCs w:val="17"/>
              </w:rPr>
            </w:pPr>
          </w:p>
          <w:p w14:paraId="5114C484" w14:textId="77777777" w:rsidR="008406E0" w:rsidRDefault="008406E0" w:rsidP="003622AF">
            <w:pPr>
              <w:jc w:val="left"/>
              <w:rPr>
                <w:sz w:val="17"/>
                <w:szCs w:val="17"/>
              </w:rPr>
            </w:pPr>
          </w:p>
          <w:p w14:paraId="0638B214" w14:textId="77777777" w:rsidR="008406E0" w:rsidRDefault="008406E0" w:rsidP="003622AF">
            <w:pPr>
              <w:jc w:val="left"/>
              <w:rPr>
                <w:sz w:val="17"/>
                <w:szCs w:val="17"/>
              </w:rPr>
            </w:pPr>
          </w:p>
          <w:p w14:paraId="520861BE" w14:textId="77777777" w:rsidR="008406E0" w:rsidRDefault="008406E0" w:rsidP="003622AF">
            <w:pPr>
              <w:jc w:val="left"/>
              <w:rPr>
                <w:sz w:val="17"/>
                <w:szCs w:val="17"/>
              </w:rPr>
            </w:pPr>
          </w:p>
          <w:p w14:paraId="15EC3C2A" w14:textId="77777777" w:rsidR="008406E0" w:rsidRDefault="008406E0" w:rsidP="003622AF">
            <w:pPr>
              <w:jc w:val="left"/>
              <w:rPr>
                <w:sz w:val="17"/>
                <w:szCs w:val="17"/>
              </w:rPr>
            </w:pPr>
          </w:p>
          <w:p w14:paraId="242BAFC0" w14:textId="77777777" w:rsidR="008406E0" w:rsidRDefault="008406E0" w:rsidP="003622AF">
            <w:pPr>
              <w:jc w:val="left"/>
              <w:rPr>
                <w:sz w:val="17"/>
                <w:szCs w:val="17"/>
              </w:rPr>
            </w:pPr>
          </w:p>
          <w:p w14:paraId="5925D889" w14:textId="77777777" w:rsidR="008406E0" w:rsidRDefault="008406E0" w:rsidP="003622AF">
            <w:pPr>
              <w:jc w:val="left"/>
              <w:rPr>
                <w:sz w:val="17"/>
                <w:szCs w:val="17"/>
              </w:rPr>
            </w:pPr>
          </w:p>
          <w:p w14:paraId="00E1D278" w14:textId="77777777" w:rsidR="008406E0" w:rsidRDefault="008406E0" w:rsidP="003622AF">
            <w:pPr>
              <w:jc w:val="left"/>
              <w:rPr>
                <w:sz w:val="17"/>
                <w:szCs w:val="17"/>
              </w:rPr>
            </w:pPr>
          </w:p>
          <w:p w14:paraId="1BD46A36" w14:textId="77777777" w:rsidR="008406E0" w:rsidRDefault="008406E0" w:rsidP="003622AF">
            <w:pPr>
              <w:jc w:val="left"/>
              <w:rPr>
                <w:sz w:val="17"/>
                <w:szCs w:val="17"/>
              </w:rPr>
            </w:pPr>
          </w:p>
          <w:p w14:paraId="4E8C2C8E" w14:textId="77777777" w:rsidR="008406E0" w:rsidRDefault="008406E0" w:rsidP="003622AF">
            <w:pPr>
              <w:jc w:val="left"/>
              <w:rPr>
                <w:sz w:val="17"/>
                <w:szCs w:val="17"/>
              </w:rPr>
            </w:pPr>
          </w:p>
          <w:p w14:paraId="067D530C" w14:textId="77777777" w:rsidR="008406E0" w:rsidRDefault="008406E0" w:rsidP="003622AF">
            <w:pPr>
              <w:jc w:val="left"/>
              <w:rPr>
                <w:sz w:val="17"/>
                <w:szCs w:val="17"/>
              </w:rPr>
            </w:pPr>
          </w:p>
          <w:p w14:paraId="204EC48E" w14:textId="77777777" w:rsidR="008406E0" w:rsidRDefault="008406E0" w:rsidP="003622AF">
            <w:pPr>
              <w:jc w:val="left"/>
              <w:rPr>
                <w:sz w:val="17"/>
                <w:szCs w:val="17"/>
              </w:rPr>
            </w:pPr>
          </w:p>
          <w:p w14:paraId="474E4FC5" w14:textId="77777777" w:rsidR="008406E0" w:rsidRDefault="008406E0" w:rsidP="003622AF">
            <w:pPr>
              <w:jc w:val="left"/>
              <w:rPr>
                <w:sz w:val="17"/>
                <w:szCs w:val="17"/>
              </w:rPr>
            </w:pPr>
          </w:p>
          <w:p w14:paraId="02ABE2F9" w14:textId="77777777" w:rsidR="008406E0" w:rsidRDefault="008406E0" w:rsidP="003622AF">
            <w:pPr>
              <w:jc w:val="left"/>
              <w:rPr>
                <w:sz w:val="17"/>
                <w:szCs w:val="17"/>
              </w:rPr>
            </w:pPr>
          </w:p>
          <w:p w14:paraId="36E0A2AF" w14:textId="22571ACD" w:rsidR="008406E0" w:rsidRPr="003E2A86" w:rsidRDefault="008406E0" w:rsidP="003622AF">
            <w:pPr>
              <w:jc w:val="left"/>
              <w:rPr>
                <w:sz w:val="17"/>
                <w:szCs w:val="17"/>
              </w:rPr>
            </w:pPr>
          </w:p>
        </w:tc>
      </w:tr>
      <w:tr w:rsidR="005F6AE8" w:rsidRPr="00166D67" w14:paraId="0CAFE9AD" w14:textId="77777777" w:rsidTr="001C278A">
        <w:trPr>
          <w:cantSplit/>
        </w:trPr>
        <w:tc>
          <w:tcPr>
            <w:tcW w:w="1097" w:type="dxa"/>
            <w:shd w:val="clear" w:color="auto" w:fill="auto"/>
          </w:tcPr>
          <w:p w14:paraId="0804E8D8" w14:textId="29DA8C8B" w:rsidR="005F6AE8" w:rsidRPr="009759C9" w:rsidRDefault="005F6AE8" w:rsidP="00407D0A">
            <w:pPr>
              <w:jc w:val="left"/>
              <w:rPr>
                <w:b/>
                <w:sz w:val="17"/>
                <w:szCs w:val="17"/>
              </w:rPr>
            </w:pPr>
            <w:r w:rsidRPr="009759C9">
              <w:rPr>
                <w:b/>
                <w:sz w:val="17"/>
                <w:szCs w:val="17"/>
              </w:rPr>
              <w:t xml:space="preserve">27 May 2021 </w:t>
            </w:r>
          </w:p>
        </w:tc>
        <w:tc>
          <w:tcPr>
            <w:tcW w:w="1880" w:type="dxa"/>
            <w:shd w:val="clear" w:color="auto" w:fill="auto"/>
          </w:tcPr>
          <w:p w14:paraId="4326FF0A" w14:textId="77777777" w:rsidR="005F6AE8" w:rsidRPr="009759C9" w:rsidRDefault="00A324C3" w:rsidP="005F6AE8">
            <w:pPr>
              <w:jc w:val="left"/>
              <w:rPr>
                <w:sz w:val="17"/>
                <w:szCs w:val="17"/>
              </w:rPr>
            </w:pPr>
            <w:hyperlink r:id="rId159" w:history="1">
              <w:r w:rsidR="005F6AE8" w:rsidRPr="009759C9">
                <w:rPr>
                  <w:rStyle w:val="Hyperlink"/>
                  <w:sz w:val="17"/>
                  <w:szCs w:val="17"/>
                </w:rPr>
                <w:t>EBA provides a comparison of provisioning in the United States and the European Union in the context of the COVID-19 pandemic</w:t>
              </w:r>
            </w:hyperlink>
            <w:r w:rsidR="005F6AE8" w:rsidRPr="009759C9">
              <w:rPr>
                <w:sz w:val="17"/>
                <w:szCs w:val="17"/>
              </w:rPr>
              <w:t xml:space="preserve"> </w:t>
            </w:r>
          </w:p>
          <w:p w14:paraId="3F6549FC" w14:textId="77777777" w:rsidR="005F6AE8" w:rsidRPr="009759C9" w:rsidRDefault="005F6AE8" w:rsidP="00407D0A">
            <w:pPr>
              <w:jc w:val="left"/>
            </w:pPr>
          </w:p>
        </w:tc>
        <w:tc>
          <w:tcPr>
            <w:tcW w:w="1819" w:type="dxa"/>
            <w:shd w:val="clear" w:color="auto" w:fill="auto"/>
          </w:tcPr>
          <w:p w14:paraId="2BD42622" w14:textId="77777777" w:rsidR="005F6AE8" w:rsidRPr="009759C9" w:rsidRDefault="005F6AE8" w:rsidP="00407D0A">
            <w:pPr>
              <w:jc w:val="left"/>
              <w:rPr>
                <w:sz w:val="17"/>
                <w:szCs w:val="17"/>
              </w:rPr>
            </w:pPr>
          </w:p>
        </w:tc>
        <w:tc>
          <w:tcPr>
            <w:tcW w:w="2155" w:type="dxa"/>
            <w:shd w:val="clear" w:color="auto" w:fill="auto"/>
          </w:tcPr>
          <w:p w14:paraId="04C7BB2D" w14:textId="44316B9A" w:rsidR="005F6AE8" w:rsidRPr="009759C9" w:rsidRDefault="009B44A9" w:rsidP="00407D0A">
            <w:pPr>
              <w:jc w:val="left"/>
              <w:rPr>
                <w:sz w:val="17"/>
                <w:szCs w:val="17"/>
              </w:rPr>
            </w:pPr>
            <w:r w:rsidRPr="009759C9">
              <w:rPr>
                <w:sz w:val="17"/>
                <w:szCs w:val="17"/>
              </w:rPr>
              <w:t xml:space="preserve">Credit Institutions </w:t>
            </w:r>
          </w:p>
        </w:tc>
        <w:tc>
          <w:tcPr>
            <w:tcW w:w="5523" w:type="dxa"/>
            <w:shd w:val="clear" w:color="auto" w:fill="auto"/>
          </w:tcPr>
          <w:p w14:paraId="5C2044FF" w14:textId="00A22DED" w:rsidR="00056ED0" w:rsidRPr="009759C9" w:rsidRDefault="005F6AE8" w:rsidP="00056ED0">
            <w:pPr>
              <w:jc w:val="left"/>
              <w:rPr>
                <w:sz w:val="17"/>
                <w:szCs w:val="17"/>
              </w:rPr>
            </w:pPr>
            <w:r w:rsidRPr="009759C9">
              <w:rPr>
                <w:sz w:val="17"/>
                <w:szCs w:val="17"/>
              </w:rPr>
              <w:t xml:space="preserve">The EBA has published a thematic note comparing provisioning in the US and the EU during the </w:t>
            </w:r>
            <w:r w:rsidR="001A05C6" w:rsidRPr="009759C9">
              <w:rPr>
                <w:sz w:val="17"/>
                <w:szCs w:val="17"/>
              </w:rPr>
              <w:t>CO</w:t>
            </w:r>
            <w:r w:rsidR="00056ED0" w:rsidRPr="009759C9">
              <w:rPr>
                <w:sz w:val="17"/>
                <w:szCs w:val="17"/>
              </w:rPr>
              <w:t>V</w:t>
            </w:r>
            <w:r w:rsidR="001A05C6" w:rsidRPr="009759C9">
              <w:rPr>
                <w:sz w:val="17"/>
                <w:szCs w:val="17"/>
              </w:rPr>
              <w:t xml:space="preserve">ID-19 pandemic. </w:t>
            </w:r>
            <w:r w:rsidR="000B46D8" w:rsidRPr="009759C9">
              <w:rPr>
                <w:sz w:val="17"/>
                <w:szCs w:val="17"/>
              </w:rPr>
              <w:t xml:space="preserve">The note first examines the difference in provisioning levels between US and EU banks. </w:t>
            </w:r>
            <w:r w:rsidR="00EC2D4C" w:rsidRPr="009759C9">
              <w:rPr>
                <w:sz w:val="17"/>
                <w:szCs w:val="17"/>
              </w:rPr>
              <w:t xml:space="preserve">For example, </w:t>
            </w:r>
            <w:r w:rsidR="00EC38C9" w:rsidRPr="009759C9">
              <w:rPr>
                <w:sz w:val="17"/>
                <w:szCs w:val="17"/>
              </w:rPr>
              <w:t>i</w:t>
            </w:r>
            <w:r w:rsidR="00056ED0" w:rsidRPr="009759C9">
              <w:rPr>
                <w:sz w:val="17"/>
                <w:szCs w:val="17"/>
              </w:rPr>
              <w:t>t illustrates how the</w:t>
            </w:r>
            <w:r w:rsidR="00056ED0" w:rsidRPr="009759C9">
              <w:rPr>
                <w:iCs/>
                <w:sz w:val="17"/>
                <w:szCs w:val="17"/>
              </w:rPr>
              <w:t xml:space="preserve"> cost of risk (</w:t>
            </w:r>
            <w:proofErr w:type="spellStart"/>
            <w:r w:rsidR="00056ED0" w:rsidRPr="009759C9">
              <w:rPr>
                <w:iCs/>
                <w:sz w:val="17"/>
                <w:szCs w:val="17"/>
              </w:rPr>
              <w:t>CoR</w:t>
            </w:r>
            <w:proofErr w:type="spellEnd"/>
            <w:r w:rsidR="00056ED0" w:rsidRPr="009759C9">
              <w:rPr>
                <w:iCs/>
                <w:sz w:val="17"/>
                <w:szCs w:val="17"/>
              </w:rPr>
              <w:t xml:space="preserve">) of EU banks rose from 0.45% in December 2019 to 0.82% in June 2020 while the </w:t>
            </w:r>
            <w:proofErr w:type="spellStart"/>
            <w:r w:rsidR="00056ED0" w:rsidRPr="009759C9">
              <w:rPr>
                <w:iCs/>
                <w:sz w:val="17"/>
                <w:szCs w:val="17"/>
              </w:rPr>
              <w:t>CoR</w:t>
            </w:r>
            <w:proofErr w:type="spellEnd"/>
            <w:r w:rsidR="00056ED0" w:rsidRPr="009759C9">
              <w:rPr>
                <w:iCs/>
                <w:sz w:val="17"/>
                <w:szCs w:val="17"/>
              </w:rPr>
              <w:t xml:space="preserve"> of US banks jumped from 0.54% to 2.16% in the same period.</w:t>
            </w:r>
          </w:p>
          <w:p w14:paraId="7D645222" w14:textId="509CF3BF" w:rsidR="005F6AE8" w:rsidRPr="009759C9" w:rsidRDefault="00056ED0" w:rsidP="00EC38C9">
            <w:pPr>
              <w:jc w:val="left"/>
              <w:rPr>
                <w:sz w:val="17"/>
                <w:szCs w:val="17"/>
              </w:rPr>
            </w:pPr>
            <w:r w:rsidRPr="009759C9">
              <w:rPr>
                <w:sz w:val="17"/>
                <w:szCs w:val="17"/>
              </w:rPr>
              <w:t>The note goes on to analyse</w:t>
            </w:r>
            <w:r w:rsidR="000B46D8" w:rsidRPr="009759C9">
              <w:rPr>
                <w:sz w:val="17"/>
                <w:szCs w:val="17"/>
              </w:rPr>
              <w:t xml:space="preserve"> </w:t>
            </w:r>
            <w:r w:rsidR="00EC38C9" w:rsidRPr="009759C9">
              <w:rPr>
                <w:sz w:val="17"/>
                <w:szCs w:val="17"/>
              </w:rPr>
              <w:t>the three key factors which</w:t>
            </w:r>
            <w:r w:rsidR="000B46D8" w:rsidRPr="009759C9">
              <w:rPr>
                <w:sz w:val="17"/>
                <w:szCs w:val="17"/>
              </w:rPr>
              <w:t xml:space="preserve"> may explain the differences </w:t>
            </w:r>
            <w:r w:rsidR="00EC38C9" w:rsidRPr="009759C9">
              <w:rPr>
                <w:sz w:val="17"/>
                <w:szCs w:val="17"/>
              </w:rPr>
              <w:t>namely</w:t>
            </w:r>
            <w:r w:rsidR="000B46D8" w:rsidRPr="009759C9">
              <w:rPr>
                <w:sz w:val="17"/>
                <w:szCs w:val="17"/>
              </w:rPr>
              <w:t xml:space="preserve"> the macroeconomic environment, the composition of loan portfolios and the accounting framework. </w:t>
            </w:r>
            <w:r w:rsidR="00EC38C9" w:rsidRPr="009759C9">
              <w:rPr>
                <w:sz w:val="17"/>
                <w:szCs w:val="17"/>
              </w:rPr>
              <w:t xml:space="preserve">The analysis highlights that the current pandemic represents the first real test for expected credit losses (ECL) provisioning models and that the </w:t>
            </w:r>
            <w:proofErr w:type="spellStart"/>
            <w:r w:rsidR="00EC38C9" w:rsidRPr="009759C9">
              <w:rPr>
                <w:sz w:val="17"/>
                <w:szCs w:val="17"/>
              </w:rPr>
              <w:t>CoR</w:t>
            </w:r>
            <w:proofErr w:type="spellEnd"/>
            <w:r w:rsidR="00EC38C9" w:rsidRPr="009759C9">
              <w:rPr>
                <w:sz w:val="17"/>
                <w:szCs w:val="17"/>
              </w:rPr>
              <w:t xml:space="preserve"> in the US and EU should continue to be monitored and analysed. </w:t>
            </w:r>
          </w:p>
        </w:tc>
      </w:tr>
      <w:tr w:rsidR="00407D0A" w:rsidRPr="00166D67" w14:paraId="186E7DF5" w14:textId="77777777" w:rsidTr="001701F9">
        <w:trPr>
          <w:cantSplit/>
        </w:trPr>
        <w:tc>
          <w:tcPr>
            <w:tcW w:w="12474" w:type="dxa"/>
            <w:gridSpan w:val="5"/>
            <w:shd w:val="clear" w:color="auto" w:fill="2CD5C4" w:themeFill="accent1"/>
          </w:tcPr>
          <w:p w14:paraId="36488DA3" w14:textId="7B920ABC" w:rsidR="00407D0A" w:rsidRPr="007F1827" w:rsidRDefault="00407D0A" w:rsidP="00407D0A">
            <w:pPr>
              <w:jc w:val="left"/>
              <w:rPr>
                <w:b/>
                <w:sz w:val="17"/>
                <w:szCs w:val="17"/>
              </w:rPr>
            </w:pPr>
            <w:r w:rsidRPr="007F1827">
              <w:rPr>
                <w:b/>
                <w:sz w:val="17"/>
                <w:szCs w:val="17"/>
              </w:rPr>
              <w:t>European Central Bank (ECB)</w:t>
            </w:r>
          </w:p>
        </w:tc>
      </w:tr>
      <w:tr w:rsidR="00407D0A" w:rsidRPr="00166D67" w14:paraId="2F55BA51" w14:textId="77777777" w:rsidTr="001701F9">
        <w:trPr>
          <w:cantSplit/>
        </w:trPr>
        <w:tc>
          <w:tcPr>
            <w:tcW w:w="1097" w:type="dxa"/>
          </w:tcPr>
          <w:p w14:paraId="52321260" w14:textId="77777777" w:rsidR="00407D0A" w:rsidRPr="007F1827" w:rsidRDefault="00407D0A" w:rsidP="00407D0A">
            <w:pPr>
              <w:jc w:val="left"/>
              <w:rPr>
                <w:b/>
                <w:sz w:val="17"/>
                <w:szCs w:val="17"/>
              </w:rPr>
            </w:pPr>
            <w:r w:rsidRPr="007F1827">
              <w:rPr>
                <w:b/>
                <w:sz w:val="17"/>
                <w:szCs w:val="17"/>
              </w:rPr>
              <w:t>12 March 2020</w:t>
            </w:r>
          </w:p>
        </w:tc>
        <w:tc>
          <w:tcPr>
            <w:tcW w:w="1880" w:type="dxa"/>
          </w:tcPr>
          <w:p w14:paraId="65F7C6B6" w14:textId="77777777" w:rsidR="00407D0A" w:rsidRPr="00166D67" w:rsidRDefault="00A324C3" w:rsidP="00407D0A">
            <w:pPr>
              <w:jc w:val="left"/>
              <w:rPr>
                <w:sz w:val="17"/>
                <w:szCs w:val="17"/>
              </w:rPr>
            </w:pPr>
            <w:hyperlink r:id="rId160" w:history="1">
              <w:r w:rsidR="00407D0A" w:rsidRPr="00166D67">
                <w:rPr>
                  <w:rStyle w:val="Hyperlink"/>
                  <w:sz w:val="17"/>
                  <w:szCs w:val="17"/>
                </w:rPr>
                <w:t>ECB Banking Supervision provides temporary capital and operational relief in reaction to coronavirus</w:t>
              </w:r>
            </w:hyperlink>
          </w:p>
        </w:tc>
        <w:tc>
          <w:tcPr>
            <w:tcW w:w="1819" w:type="dxa"/>
            <w:shd w:val="clear" w:color="auto" w:fill="auto"/>
          </w:tcPr>
          <w:p w14:paraId="6D8F2C26" w14:textId="7F90FB44" w:rsidR="00407D0A" w:rsidRPr="00166D67" w:rsidRDefault="00407D0A" w:rsidP="00407D0A">
            <w:pPr>
              <w:tabs>
                <w:tab w:val="center" w:pos="698"/>
              </w:tabs>
              <w:jc w:val="left"/>
              <w:rPr>
                <w:sz w:val="17"/>
                <w:szCs w:val="17"/>
              </w:rPr>
            </w:pPr>
          </w:p>
        </w:tc>
        <w:tc>
          <w:tcPr>
            <w:tcW w:w="2155" w:type="dxa"/>
          </w:tcPr>
          <w:p w14:paraId="289DAD8F" w14:textId="77777777" w:rsidR="00407D0A" w:rsidRPr="00166D67" w:rsidRDefault="00407D0A" w:rsidP="00407D0A">
            <w:pPr>
              <w:jc w:val="left"/>
              <w:rPr>
                <w:sz w:val="17"/>
                <w:szCs w:val="17"/>
              </w:rPr>
            </w:pPr>
            <w:r w:rsidRPr="00166D67">
              <w:rPr>
                <w:sz w:val="17"/>
                <w:szCs w:val="17"/>
              </w:rPr>
              <w:t>Credit Institutions</w:t>
            </w:r>
          </w:p>
        </w:tc>
        <w:tc>
          <w:tcPr>
            <w:tcW w:w="5523" w:type="dxa"/>
          </w:tcPr>
          <w:p w14:paraId="3483697B" w14:textId="317BB85F" w:rsidR="00407D0A" w:rsidRPr="00166D67" w:rsidRDefault="00407D0A" w:rsidP="00407D0A">
            <w:pPr>
              <w:jc w:val="left"/>
              <w:rPr>
                <w:b/>
                <w:sz w:val="17"/>
                <w:szCs w:val="17"/>
              </w:rPr>
            </w:pPr>
            <w:r w:rsidRPr="00166D67">
              <w:rPr>
                <w:sz w:val="17"/>
                <w:szCs w:val="17"/>
              </w:rPr>
              <w:t xml:space="preserve">The ECB announced that it will temporarily allow banks to operate below the capital levels defined in the Pillar 2 Guidance, the capital conservation buffer and the liquidity coverage ratio. Banks will also be allowed to partially use capital instruments that do not qualify as Common Equity Tier 1 capital, for example Additional Tier 1 or Tier 2 instruments, to meet the Pillar 2 Requirements. </w:t>
            </w:r>
            <w:r w:rsidRPr="00166D67">
              <w:rPr>
                <w:b/>
                <w:sz w:val="17"/>
                <w:szCs w:val="17"/>
              </w:rPr>
              <w:t>Banks are expected to use the positive effects coming from these measures to support the economy and not to increase dividend distributions or variable remuneration.</w:t>
            </w:r>
          </w:p>
          <w:p w14:paraId="6AF40AF8" w14:textId="77777777" w:rsidR="00407D0A" w:rsidRPr="00166D67" w:rsidRDefault="00407D0A" w:rsidP="00407D0A">
            <w:pPr>
              <w:jc w:val="left"/>
              <w:rPr>
                <w:sz w:val="17"/>
                <w:szCs w:val="17"/>
              </w:rPr>
            </w:pPr>
            <w:r w:rsidRPr="00166D67">
              <w:rPr>
                <w:sz w:val="17"/>
                <w:szCs w:val="17"/>
              </w:rPr>
              <w:t xml:space="preserve">Additionally, the ECB is </w:t>
            </w:r>
            <w:r w:rsidRPr="00166D67">
              <w:rPr>
                <w:b/>
                <w:sz w:val="17"/>
                <w:szCs w:val="17"/>
              </w:rPr>
              <w:t>discussing individual measures with banks, such as adjusting timetables, processes and deadlines</w:t>
            </w:r>
            <w:r w:rsidRPr="00166D67">
              <w:rPr>
                <w:sz w:val="17"/>
                <w:szCs w:val="17"/>
              </w:rPr>
              <w:t>.</w:t>
            </w:r>
          </w:p>
        </w:tc>
      </w:tr>
      <w:tr w:rsidR="00407D0A" w:rsidRPr="00166D67" w14:paraId="1234A906" w14:textId="77777777" w:rsidTr="009B7981">
        <w:trPr>
          <w:cantSplit/>
        </w:trPr>
        <w:tc>
          <w:tcPr>
            <w:tcW w:w="1097" w:type="dxa"/>
            <w:shd w:val="clear" w:color="auto" w:fill="auto"/>
          </w:tcPr>
          <w:p w14:paraId="056C58AD" w14:textId="20B7CEB8" w:rsidR="00407D0A" w:rsidRPr="007F1827" w:rsidRDefault="00407D0A" w:rsidP="00407D0A">
            <w:pPr>
              <w:jc w:val="left"/>
              <w:rPr>
                <w:b/>
                <w:sz w:val="17"/>
                <w:szCs w:val="17"/>
              </w:rPr>
            </w:pPr>
            <w:r>
              <w:rPr>
                <w:b/>
                <w:sz w:val="17"/>
                <w:szCs w:val="17"/>
              </w:rPr>
              <w:t>20 March 2020</w:t>
            </w:r>
          </w:p>
        </w:tc>
        <w:tc>
          <w:tcPr>
            <w:tcW w:w="1880" w:type="dxa"/>
            <w:shd w:val="clear" w:color="auto" w:fill="auto"/>
          </w:tcPr>
          <w:p w14:paraId="289287FE" w14:textId="57D1CA8E" w:rsidR="00407D0A" w:rsidRPr="000F30AE" w:rsidRDefault="00A324C3" w:rsidP="00407D0A">
            <w:pPr>
              <w:jc w:val="left"/>
              <w:rPr>
                <w:sz w:val="17"/>
                <w:szCs w:val="17"/>
              </w:rPr>
            </w:pPr>
            <w:hyperlink r:id="rId161" w:history="1">
              <w:r w:rsidR="00407D0A" w:rsidRPr="000F30AE">
                <w:rPr>
                  <w:rStyle w:val="Hyperlink"/>
                  <w:sz w:val="17"/>
                  <w:szCs w:val="17"/>
                </w:rPr>
                <w:t>ECB Banking Supervision provides further flexibility to banks in reaction to coronavirus</w:t>
              </w:r>
            </w:hyperlink>
          </w:p>
        </w:tc>
        <w:tc>
          <w:tcPr>
            <w:tcW w:w="1819" w:type="dxa"/>
            <w:shd w:val="clear" w:color="auto" w:fill="auto"/>
          </w:tcPr>
          <w:p w14:paraId="1877D605" w14:textId="77777777" w:rsidR="00407D0A" w:rsidRPr="00166D67" w:rsidRDefault="00407D0A" w:rsidP="00407D0A">
            <w:pPr>
              <w:tabs>
                <w:tab w:val="center" w:pos="698"/>
              </w:tabs>
              <w:jc w:val="left"/>
              <w:rPr>
                <w:sz w:val="17"/>
                <w:szCs w:val="17"/>
              </w:rPr>
            </w:pPr>
          </w:p>
        </w:tc>
        <w:tc>
          <w:tcPr>
            <w:tcW w:w="2155" w:type="dxa"/>
            <w:shd w:val="clear" w:color="auto" w:fill="auto"/>
          </w:tcPr>
          <w:p w14:paraId="485A40E1" w14:textId="64196E43" w:rsidR="00407D0A" w:rsidRPr="00166D67" w:rsidRDefault="00407D0A" w:rsidP="00407D0A">
            <w:pPr>
              <w:jc w:val="left"/>
              <w:rPr>
                <w:sz w:val="17"/>
                <w:szCs w:val="17"/>
              </w:rPr>
            </w:pPr>
            <w:r w:rsidRPr="00166D67">
              <w:rPr>
                <w:sz w:val="17"/>
                <w:szCs w:val="17"/>
              </w:rPr>
              <w:t>All Regulated Financial Services Providers</w:t>
            </w:r>
          </w:p>
        </w:tc>
        <w:tc>
          <w:tcPr>
            <w:tcW w:w="5523" w:type="dxa"/>
            <w:shd w:val="clear" w:color="auto" w:fill="auto"/>
          </w:tcPr>
          <w:p w14:paraId="4977C105" w14:textId="272CDD20" w:rsidR="00407D0A" w:rsidRPr="00166D67" w:rsidRDefault="00407D0A" w:rsidP="00407D0A">
            <w:pPr>
              <w:jc w:val="left"/>
              <w:rPr>
                <w:sz w:val="17"/>
                <w:szCs w:val="17"/>
              </w:rPr>
            </w:pPr>
            <w:r>
              <w:rPr>
                <w:sz w:val="17"/>
                <w:szCs w:val="17"/>
              </w:rPr>
              <w:t xml:space="preserve">The ECB has announced further flexibility measures to ensure that banks can continue to support borrowers following the recent capital and operational relief measures announced on 12 March 2020. Such measures include flexibility regarding the treatment of non-performing loans. Separately, the ECB has encouraged banks to avoid excessive </w:t>
            </w:r>
            <w:proofErr w:type="spellStart"/>
            <w:r>
              <w:rPr>
                <w:sz w:val="17"/>
                <w:szCs w:val="17"/>
              </w:rPr>
              <w:t>procyclical</w:t>
            </w:r>
            <w:proofErr w:type="spellEnd"/>
            <w:r>
              <w:rPr>
                <w:sz w:val="17"/>
                <w:szCs w:val="17"/>
              </w:rPr>
              <w:t xml:space="preserve"> effects when applying the IFRS 9 international accounting standard. </w:t>
            </w:r>
          </w:p>
        </w:tc>
      </w:tr>
      <w:tr w:rsidR="00407D0A" w:rsidRPr="00166D67" w14:paraId="45C4AC08" w14:textId="77777777" w:rsidTr="001701F9">
        <w:trPr>
          <w:cantSplit/>
        </w:trPr>
        <w:tc>
          <w:tcPr>
            <w:tcW w:w="1097" w:type="dxa"/>
          </w:tcPr>
          <w:p w14:paraId="06D97066" w14:textId="77777777" w:rsidR="00407D0A" w:rsidRPr="007F1827" w:rsidRDefault="00407D0A" w:rsidP="00407D0A">
            <w:pPr>
              <w:jc w:val="left"/>
              <w:rPr>
                <w:b/>
                <w:sz w:val="17"/>
                <w:szCs w:val="17"/>
              </w:rPr>
            </w:pPr>
            <w:r w:rsidRPr="007F1827">
              <w:rPr>
                <w:b/>
                <w:sz w:val="17"/>
                <w:szCs w:val="17"/>
              </w:rPr>
              <w:t>27 March 2020</w:t>
            </w:r>
          </w:p>
        </w:tc>
        <w:tc>
          <w:tcPr>
            <w:tcW w:w="1880" w:type="dxa"/>
          </w:tcPr>
          <w:p w14:paraId="5EB9AAA8" w14:textId="77777777" w:rsidR="00407D0A" w:rsidRPr="00166D67" w:rsidRDefault="00A324C3" w:rsidP="00407D0A">
            <w:pPr>
              <w:jc w:val="left"/>
              <w:rPr>
                <w:sz w:val="17"/>
                <w:szCs w:val="17"/>
              </w:rPr>
            </w:pPr>
            <w:hyperlink r:id="rId162" w:history="1">
              <w:r w:rsidR="00407D0A" w:rsidRPr="00166D67">
                <w:rPr>
                  <w:rStyle w:val="Hyperlink"/>
                  <w:sz w:val="17"/>
                  <w:szCs w:val="17"/>
                </w:rPr>
                <w:t>ECB asks banks not to pay dividends until at least October 2020</w:t>
              </w:r>
            </w:hyperlink>
          </w:p>
        </w:tc>
        <w:tc>
          <w:tcPr>
            <w:tcW w:w="1819" w:type="dxa"/>
          </w:tcPr>
          <w:p w14:paraId="13D4D250" w14:textId="77777777" w:rsidR="00407D0A" w:rsidRPr="00166D67" w:rsidRDefault="00407D0A" w:rsidP="00407D0A">
            <w:pPr>
              <w:jc w:val="left"/>
              <w:rPr>
                <w:sz w:val="17"/>
                <w:szCs w:val="17"/>
              </w:rPr>
            </w:pPr>
          </w:p>
        </w:tc>
        <w:tc>
          <w:tcPr>
            <w:tcW w:w="2155" w:type="dxa"/>
          </w:tcPr>
          <w:p w14:paraId="66951463" w14:textId="77777777" w:rsidR="00407D0A" w:rsidRPr="00166D67" w:rsidRDefault="00407D0A" w:rsidP="00407D0A">
            <w:pPr>
              <w:jc w:val="left"/>
              <w:rPr>
                <w:sz w:val="17"/>
                <w:szCs w:val="17"/>
              </w:rPr>
            </w:pPr>
            <w:r w:rsidRPr="00166D67">
              <w:rPr>
                <w:sz w:val="17"/>
                <w:szCs w:val="17"/>
              </w:rPr>
              <w:t>Credit Institutions</w:t>
            </w:r>
          </w:p>
        </w:tc>
        <w:tc>
          <w:tcPr>
            <w:tcW w:w="5523" w:type="dxa"/>
          </w:tcPr>
          <w:p w14:paraId="003C0531" w14:textId="77777777" w:rsidR="00407D0A" w:rsidRPr="00166D67" w:rsidRDefault="00407D0A" w:rsidP="00407D0A">
            <w:pPr>
              <w:jc w:val="left"/>
              <w:rPr>
                <w:sz w:val="17"/>
                <w:szCs w:val="17"/>
              </w:rPr>
            </w:pPr>
            <w:r w:rsidRPr="00166D67">
              <w:rPr>
                <w:sz w:val="17"/>
                <w:szCs w:val="17"/>
              </w:rPr>
              <w:t xml:space="preserve">The ECB has recommended that banks do not pay dividends for the financial years 2019 and 2020 until </w:t>
            </w:r>
            <w:r w:rsidRPr="00166D67">
              <w:rPr>
                <w:b/>
                <w:sz w:val="17"/>
                <w:szCs w:val="17"/>
              </w:rPr>
              <w:t>at least 1 October 2020</w:t>
            </w:r>
            <w:r w:rsidRPr="00166D67">
              <w:rPr>
                <w:sz w:val="17"/>
                <w:szCs w:val="17"/>
              </w:rPr>
              <w:t xml:space="preserve">. </w:t>
            </w:r>
          </w:p>
          <w:p w14:paraId="199FD982" w14:textId="77777777" w:rsidR="00407D0A" w:rsidRPr="00166D67" w:rsidRDefault="00407D0A" w:rsidP="00407D0A">
            <w:pPr>
              <w:jc w:val="left"/>
              <w:rPr>
                <w:sz w:val="17"/>
                <w:szCs w:val="17"/>
              </w:rPr>
            </w:pPr>
            <w:r w:rsidRPr="00166D67">
              <w:rPr>
                <w:sz w:val="17"/>
                <w:szCs w:val="17"/>
              </w:rPr>
              <w:t xml:space="preserve">Banks that have </w:t>
            </w:r>
            <w:r w:rsidRPr="00166D67">
              <w:rPr>
                <w:b/>
                <w:sz w:val="17"/>
                <w:szCs w:val="17"/>
              </w:rPr>
              <w:t>asked their shareholders to vote on a dividend distribution proposal in their upcoming General Shareholders Meeting are expected to amend such proposals</w:t>
            </w:r>
            <w:r w:rsidRPr="00166D67">
              <w:rPr>
                <w:sz w:val="17"/>
                <w:szCs w:val="17"/>
              </w:rPr>
              <w:t xml:space="preserve"> in line with the updated recommendation.</w:t>
            </w:r>
          </w:p>
          <w:p w14:paraId="24680641" w14:textId="77777777" w:rsidR="00407D0A" w:rsidRPr="00166D67" w:rsidRDefault="00407D0A" w:rsidP="00407D0A">
            <w:pPr>
              <w:jc w:val="left"/>
              <w:rPr>
                <w:sz w:val="17"/>
                <w:szCs w:val="17"/>
              </w:rPr>
            </w:pPr>
            <w:r w:rsidRPr="00166D67">
              <w:rPr>
                <w:sz w:val="17"/>
                <w:szCs w:val="17"/>
              </w:rPr>
              <w:t xml:space="preserve">Banks that consider themselves </w:t>
            </w:r>
            <w:r w:rsidRPr="00166D67">
              <w:rPr>
                <w:b/>
                <w:sz w:val="17"/>
                <w:szCs w:val="17"/>
              </w:rPr>
              <w:t>legally required to pay dividends before 1 October are asked to immediately explain the underlying reasons</w:t>
            </w:r>
            <w:r w:rsidRPr="00166D67">
              <w:rPr>
                <w:sz w:val="17"/>
                <w:szCs w:val="17"/>
              </w:rPr>
              <w:t xml:space="preserve"> to their joint supervisory team.</w:t>
            </w:r>
          </w:p>
        </w:tc>
      </w:tr>
      <w:tr w:rsidR="00407D0A" w:rsidRPr="00166D67" w14:paraId="5C7C1F7B" w14:textId="77777777" w:rsidTr="001701F9">
        <w:trPr>
          <w:cantSplit/>
        </w:trPr>
        <w:tc>
          <w:tcPr>
            <w:tcW w:w="1097" w:type="dxa"/>
          </w:tcPr>
          <w:p w14:paraId="250898B5" w14:textId="77777777" w:rsidR="00407D0A" w:rsidRPr="007F1827" w:rsidRDefault="00407D0A" w:rsidP="00407D0A">
            <w:pPr>
              <w:jc w:val="left"/>
              <w:rPr>
                <w:b/>
                <w:sz w:val="17"/>
                <w:szCs w:val="17"/>
              </w:rPr>
            </w:pPr>
            <w:r w:rsidRPr="007F1827">
              <w:rPr>
                <w:b/>
                <w:sz w:val="17"/>
                <w:szCs w:val="17"/>
              </w:rPr>
              <w:t>1 April 2020</w:t>
            </w:r>
          </w:p>
        </w:tc>
        <w:tc>
          <w:tcPr>
            <w:tcW w:w="1880" w:type="dxa"/>
          </w:tcPr>
          <w:p w14:paraId="55D71D83" w14:textId="77777777" w:rsidR="00407D0A" w:rsidRPr="00166D67" w:rsidRDefault="00A324C3" w:rsidP="00407D0A">
            <w:pPr>
              <w:jc w:val="left"/>
              <w:rPr>
                <w:sz w:val="17"/>
                <w:szCs w:val="17"/>
              </w:rPr>
            </w:pPr>
            <w:hyperlink r:id="rId163" w:history="1">
              <w:r w:rsidR="00407D0A" w:rsidRPr="00166D67">
                <w:rPr>
                  <w:rStyle w:val="Hyperlink"/>
                  <w:sz w:val="17"/>
                  <w:szCs w:val="17"/>
                </w:rPr>
                <w:t>IFRS 9 in the context of the coronavirus (COVID-19) pandemic</w:t>
              </w:r>
            </w:hyperlink>
          </w:p>
        </w:tc>
        <w:tc>
          <w:tcPr>
            <w:tcW w:w="1819" w:type="dxa"/>
          </w:tcPr>
          <w:p w14:paraId="3894088D" w14:textId="77777777" w:rsidR="00407D0A" w:rsidRPr="00166D67" w:rsidRDefault="00407D0A" w:rsidP="00407D0A">
            <w:pPr>
              <w:jc w:val="left"/>
              <w:rPr>
                <w:sz w:val="17"/>
                <w:szCs w:val="17"/>
              </w:rPr>
            </w:pPr>
          </w:p>
        </w:tc>
        <w:tc>
          <w:tcPr>
            <w:tcW w:w="2155" w:type="dxa"/>
          </w:tcPr>
          <w:p w14:paraId="2218DA86" w14:textId="77777777" w:rsidR="00407D0A" w:rsidRPr="00166D67" w:rsidRDefault="00407D0A" w:rsidP="00407D0A">
            <w:pPr>
              <w:jc w:val="left"/>
              <w:rPr>
                <w:sz w:val="17"/>
                <w:szCs w:val="17"/>
              </w:rPr>
            </w:pPr>
            <w:r w:rsidRPr="00166D67">
              <w:rPr>
                <w:sz w:val="17"/>
                <w:szCs w:val="17"/>
              </w:rPr>
              <w:t xml:space="preserve">Significant Institutions </w:t>
            </w:r>
          </w:p>
        </w:tc>
        <w:tc>
          <w:tcPr>
            <w:tcW w:w="5523" w:type="dxa"/>
          </w:tcPr>
          <w:p w14:paraId="2E83FD3B" w14:textId="77777777" w:rsidR="00407D0A" w:rsidRPr="00166D67" w:rsidRDefault="00407D0A" w:rsidP="00407D0A">
            <w:pPr>
              <w:jc w:val="left"/>
              <w:rPr>
                <w:sz w:val="17"/>
                <w:szCs w:val="17"/>
              </w:rPr>
            </w:pPr>
            <w:r w:rsidRPr="00166D67">
              <w:rPr>
                <w:sz w:val="17"/>
                <w:szCs w:val="17"/>
              </w:rPr>
              <w:t>In order to mitigate volatility in institutions’ regulatory capital and financial statements stemming from IFRS 9 accounting practices, the ECB has recommended that significant institutions:</w:t>
            </w:r>
          </w:p>
          <w:p w14:paraId="18967CE7" w14:textId="77777777" w:rsidR="00407D0A" w:rsidRPr="00166D67" w:rsidRDefault="00407D0A" w:rsidP="00407D0A">
            <w:pPr>
              <w:pStyle w:val="ListParagraph"/>
              <w:numPr>
                <w:ilvl w:val="0"/>
                <w:numId w:val="9"/>
              </w:numPr>
              <w:jc w:val="left"/>
              <w:rPr>
                <w:sz w:val="17"/>
                <w:szCs w:val="17"/>
              </w:rPr>
            </w:pPr>
            <w:r w:rsidRPr="00166D67">
              <w:rPr>
                <w:sz w:val="17"/>
                <w:szCs w:val="17"/>
              </w:rPr>
              <w:t>opt to apply the full transitional IFRS 9 provisions foreseen in the Capital Requirements Regulation; and</w:t>
            </w:r>
          </w:p>
          <w:p w14:paraId="604273CC" w14:textId="77777777" w:rsidR="00407D0A" w:rsidRPr="00166D67" w:rsidRDefault="00407D0A" w:rsidP="00407D0A">
            <w:pPr>
              <w:pStyle w:val="ListParagraph"/>
              <w:numPr>
                <w:ilvl w:val="0"/>
                <w:numId w:val="9"/>
              </w:numPr>
              <w:jc w:val="left"/>
              <w:rPr>
                <w:sz w:val="17"/>
                <w:szCs w:val="17"/>
              </w:rPr>
            </w:pPr>
            <w:proofErr w:type="gramStart"/>
            <w:r w:rsidRPr="00166D67">
              <w:rPr>
                <w:sz w:val="17"/>
                <w:szCs w:val="17"/>
              </w:rPr>
              <w:t>avoid</w:t>
            </w:r>
            <w:proofErr w:type="gramEnd"/>
            <w:r w:rsidRPr="00166D67">
              <w:rPr>
                <w:sz w:val="17"/>
                <w:szCs w:val="17"/>
              </w:rPr>
              <w:t xml:space="preserve"> excessively </w:t>
            </w:r>
            <w:proofErr w:type="spellStart"/>
            <w:r w:rsidRPr="00166D67">
              <w:rPr>
                <w:sz w:val="17"/>
                <w:szCs w:val="17"/>
              </w:rPr>
              <w:t>procyclical</w:t>
            </w:r>
            <w:proofErr w:type="spellEnd"/>
            <w:r w:rsidRPr="00166D67">
              <w:rPr>
                <w:sz w:val="17"/>
                <w:szCs w:val="17"/>
              </w:rPr>
              <w:t xml:space="preserve"> assumptions in their IFRS 9 models to determine their provisions.</w:t>
            </w:r>
          </w:p>
          <w:p w14:paraId="706136B1" w14:textId="77777777" w:rsidR="00407D0A" w:rsidRPr="00166D67" w:rsidRDefault="00407D0A" w:rsidP="00407D0A">
            <w:pPr>
              <w:jc w:val="left"/>
              <w:rPr>
                <w:sz w:val="17"/>
                <w:szCs w:val="17"/>
              </w:rPr>
            </w:pPr>
            <w:r w:rsidRPr="00166D67">
              <w:rPr>
                <w:sz w:val="17"/>
                <w:szCs w:val="17"/>
              </w:rPr>
              <w:t>The Guidance contains more detailed recommendations on how significant institutions should estimate their credit losses and use macroeconomic forecasts.</w:t>
            </w:r>
          </w:p>
        </w:tc>
      </w:tr>
      <w:tr w:rsidR="00407D0A" w:rsidRPr="00166D67" w14:paraId="2CFD8220" w14:textId="77777777" w:rsidTr="001701F9">
        <w:trPr>
          <w:cantSplit/>
        </w:trPr>
        <w:tc>
          <w:tcPr>
            <w:tcW w:w="1097" w:type="dxa"/>
          </w:tcPr>
          <w:p w14:paraId="2440DAF6" w14:textId="63AEFA23" w:rsidR="00407D0A" w:rsidRPr="007F1827" w:rsidRDefault="00407D0A" w:rsidP="00407D0A">
            <w:pPr>
              <w:jc w:val="left"/>
              <w:rPr>
                <w:b/>
                <w:sz w:val="17"/>
                <w:szCs w:val="17"/>
              </w:rPr>
            </w:pPr>
            <w:r w:rsidRPr="007F1827">
              <w:rPr>
                <w:b/>
                <w:sz w:val="17"/>
                <w:szCs w:val="17"/>
              </w:rPr>
              <w:t>7 April 2020</w:t>
            </w:r>
          </w:p>
        </w:tc>
        <w:tc>
          <w:tcPr>
            <w:tcW w:w="1880" w:type="dxa"/>
          </w:tcPr>
          <w:p w14:paraId="671CC683" w14:textId="1C6B9C8F" w:rsidR="00407D0A" w:rsidRPr="00166D67" w:rsidRDefault="00A324C3" w:rsidP="00407D0A">
            <w:pPr>
              <w:jc w:val="left"/>
              <w:rPr>
                <w:sz w:val="17"/>
                <w:szCs w:val="17"/>
              </w:rPr>
            </w:pPr>
            <w:hyperlink r:id="rId164" w:history="1">
              <w:r w:rsidR="00407D0A" w:rsidRPr="00166D67">
                <w:rPr>
                  <w:rStyle w:val="Hyperlink"/>
                  <w:sz w:val="17"/>
                  <w:szCs w:val="17"/>
                </w:rPr>
                <w:t>ECB announces package of temporary collateral easing measures</w:t>
              </w:r>
            </w:hyperlink>
          </w:p>
        </w:tc>
        <w:tc>
          <w:tcPr>
            <w:tcW w:w="1819" w:type="dxa"/>
          </w:tcPr>
          <w:p w14:paraId="55F883CD" w14:textId="77777777" w:rsidR="00407D0A" w:rsidRPr="00166D67" w:rsidRDefault="00407D0A" w:rsidP="00407D0A">
            <w:pPr>
              <w:jc w:val="left"/>
              <w:rPr>
                <w:sz w:val="17"/>
                <w:szCs w:val="17"/>
              </w:rPr>
            </w:pPr>
          </w:p>
        </w:tc>
        <w:tc>
          <w:tcPr>
            <w:tcW w:w="2155" w:type="dxa"/>
          </w:tcPr>
          <w:p w14:paraId="39E5451C" w14:textId="3FD1BFCF" w:rsidR="00407D0A" w:rsidRPr="00166D67" w:rsidRDefault="00407D0A" w:rsidP="00407D0A">
            <w:pPr>
              <w:jc w:val="left"/>
              <w:rPr>
                <w:sz w:val="17"/>
                <w:szCs w:val="17"/>
              </w:rPr>
            </w:pPr>
            <w:r w:rsidRPr="00166D67">
              <w:rPr>
                <w:sz w:val="17"/>
                <w:szCs w:val="17"/>
              </w:rPr>
              <w:t>Credit Institutions</w:t>
            </w:r>
          </w:p>
        </w:tc>
        <w:tc>
          <w:tcPr>
            <w:tcW w:w="5523" w:type="dxa"/>
          </w:tcPr>
          <w:p w14:paraId="3D874C7D" w14:textId="52239595" w:rsidR="00407D0A" w:rsidRPr="00166D67" w:rsidRDefault="00407D0A" w:rsidP="00407D0A">
            <w:pPr>
              <w:jc w:val="left"/>
              <w:rPr>
                <w:sz w:val="17"/>
                <w:szCs w:val="17"/>
              </w:rPr>
            </w:pPr>
            <w:r w:rsidRPr="00166D67">
              <w:rPr>
                <w:sz w:val="17"/>
                <w:szCs w:val="17"/>
              </w:rPr>
              <w:t xml:space="preserve">The ECB introduced temporary collateral easing measures to widen the range of eligible collateral for </w:t>
            </w:r>
            <w:proofErr w:type="spellStart"/>
            <w:r w:rsidRPr="00166D67">
              <w:rPr>
                <w:sz w:val="17"/>
                <w:szCs w:val="17"/>
              </w:rPr>
              <w:t>Eurosystem</w:t>
            </w:r>
            <w:proofErr w:type="spellEnd"/>
            <w:r w:rsidRPr="00166D67">
              <w:rPr>
                <w:sz w:val="17"/>
                <w:szCs w:val="17"/>
              </w:rPr>
              <w:t xml:space="preserve"> counterparties to participate in liquidity providing operations. The measures include:</w:t>
            </w:r>
          </w:p>
          <w:p w14:paraId="434E8C2E" w14:textId="55FC9779" w:rsidR="00407D0A" w:rsidRPr="00166D67" w:rsidRDefault="00407D0A" w:rsidP="00407D0A">
            <w:pPr>
              <w:pStyle w:val="ListParagraph"/>
              <w:numPr>
                <w:ilvl w:val="0"/>
                <w:numId w:val="11"/>
              </w:numPr>
              <w:jc w:val="left"/>
              <w:rPr>
                <w:sz w:val="17"/>
                <w:szCs w:val="17"/>
              </w:rPr>
            </w:pPr>
            <w:r w:rsidRPr="00166D67">
              <w:rPr>
                <w:sz w:val="17"/>
                <w:szCs w:val="17"/>
              </w:rPr>
              <w:t>expanding the use of credit claims as collateral, in particular through the potential expansion of the additional credit claims frameworks;</w:t>
            </w:r>
          </w:p>
          <w:p w14:paraId="5AA2CB63" w14:textId="5C8E2DBF" w:rsidR="00407D0A" w:rsidRPr="00166D67" w:rsidRDefault="00407D0A" w:rsidP="00407D0A">
            <w:pPr>
              <w:pStyle w:val="ListParagraph"/>
              <w:numPr>
                <w:ilvl w:val="0"/>
                <w:numId w:val="11"/>
              </w:numPr>
              <w:jc w:val="left"/>
              <w:rPr>
                <w:sz w:val="17"/>
                <w:szCs w:val="17"/>
              </w:rPr>
            </w:pPr>
            <w:r w:rsidRPr="00166D67">
              <w:rPr>
                <w:sz w:val="17"/>
                <w:szCs w:val="17"/>
              </w:rPr>
              <w:t>lowering the level of the non-uniform minimum size threshold for domestic credit claims to EUR 0 from EUR 25,000 previously to facilitate the mobilisation as collateral of loans from small corporate entities;</w:t>
            </w:r>
          </w:p>
          <w:p w14:paraId="32618B21" w14:textId="78102633" w:rsidR="00407D0A" w:rsidRPr="00166D67" w:rsidRDefault="00407D0A" w:rsidP="00407D0A">
            <w:pPr>
              <w:pStyle w:val="ListParagraph"/>
              <w:numPr>
                <w:ilvl w:val="0"/>
                <w:numId w:val="11"/>
              </w:numPr>
              <w:jc w:val="left"/>
              <w:rPr>
                <w:sz w:val="17"/>
                <w:szCs w:val="17"/>
              </w:rPr>
            </w:pPr>
            <w:r w:rsidRPr="00166D67">
              <w:rPr>
                <w:sz w:val="17"/>
                <w:szCs w:val="17"/>
              </w:rPr>
              <w:t>an increase, from 2.5% to 10%, in the maximum share of unsecured debt instruments issued by any single other banking group in a credit institution’s collateral pool;</w:t>
            </w:r>
          </w:p>
          <w:p w14:paraId="1C812F7D" w14:textId="7F00094A" w:rsidR="00407D0A" w:rsidRPr="00166D67" w:rsidRDefault="00407D0A" w:rsidP="00407D0A">
            <w:pPr>
              <w:pStyle w:val="ListParagraph"/>
              <w:numPr>
                <w:ilvl w:val="0"/>
                <w:numId w:val="11"/>
              </w:numPr>
              <w:jc w:val="left"/>
              <w:rPr>
                <w:sz w:val="17"/>
                <w:szCs w:val="17"/>
              </w:rPr>
            </w:pPr>
            <w:r w:rsidRPr="00166D67">
              <w:rPr>
                <w:sz w:val="17"/>
                <w:szCs w:val="17"/>
              </w:rPr>
              <w:t xml:space="preserve">a waiver of the minimum credit quality requirement for marketable debt instruments issued by Greece for acceptance as collateral in </w:t>
            </w:r>
            <w:proofErr w:type="spellStart"/>
            <w:r w:rsidRPr="00166D67">
              <w:rPr>
                <w:sz w:val="17"/>
                <w:szCs w:val="17"/>
              </w:rPr>
              <w:t>Eurosystem</w:t>
            </w:r>
            <w:proofErr w:type="spellEnd"/>
            <w:r w:rsidRPr="00166D67">
              <w:rPr>
                <w:sz w:val="17"/>
                <w:szCs w:val="17"/>
              </w:rPr>
              <w:t xml:space="preserve"> credit operations; and</w:t>
            </w:r>
          </w:p>
          <w:p w14:paraId="2B9923C2" w14:textId="4557CB53" w:rsidR="00407D0A" w:rsidRPr="00166D67" w:rsidRDefault="00407D0A" w:rsidP="00407D0A">
            <w:pPr>
              <w:pStyle w:val="ListParagraph"/>
              <w:numPr>
                <w:ilvl w:val="0"/>
                <w:numId w:val="11"/>
              </w:numPr>
              <w:jc w:val="left"/>
              <w:rPr>
                <w:sz w:val="17"/>
                <w:szCs w:val="17"/>
              </w:rPr>
            </w:pPr>
            <w:proofErr w:type="gramStart"/>
            <w:r w:rsidRPr="00166D67">
              <w:rPr>
                <w:sz w:val="17"/>
                <w:szCs w:val="17"/>
              </w:rPr>
              <w:t>increasing</w:t>
            </w:r>
            <w:proofErr w:type="gramEnd"/>
            <w:r w:rsidRPr="00166D67">
              <w:rPr>
                <w:sz w:val="17"/>
                <w:szCs w:val="17"/>
              </w:rPr>
              <w:t xml:space="preserve"> the ECB's risk tolerance level in credit operations through a general reduction of collateral valuation haircuts by a fixed factor of 20%.</w:t>
            </w:r>
          </w:p>
        </w:tc>
      </w:tr>
      <w:tr w:rsidR="00407D0A" w:rsidRPr="00166D67" w14:paraId="36FA6105" w14:textId="77777777" w:rsidTr="001701F9">
        <w:trPr>
          <w:cantSplit/>
        </w:trPr>
        <w:tc>
          <w:tcPr>
            <w:tcW w:w="1097" w:type="dxa"/>
            <w:shd w:val="clear" w:color="auto" w:fill="auto"/>
          </w:tcPr>
          <w:p w14:paraId="19BC194A" w14:textId="0D325493" w:rsidR="00407D0A" w:rsidRPr="007F1827" w:rsidRDefault="00407D0A" w:rsidP="00407D0A">
            <w:pPr>
              <w:jc w:val="left"/>
              <w:rPr>
                <w:b/>
                <w:sz w:val="17"/>
                <w:szCs w:val="17"/>
              </w:rPr>
            </w:pPr>
            <w:r w:rsidRPr="007F1827">
              <w:rPr>
                <w:b/>
                <w:sz w:val="17"/>
                <w:szCs w:val="17"/>
              </w:rPr>
              <w:t>14 April 2020</w:t>
            </w:r>
          </w:p>
        </w:tc>
        <w:tc>
          <w:tcPr>
            <w:tcW w:w="1880" w:type="dxa"/>
            <w:shd w:val="clear" w:color="auto" w:fill="auto"/>
          </w:tcPr>
          <w:p w14:paraId="6022FA68" w14:textId="7F9D15A1" w:rsidR="00407D0A" w:rsidRPr="00166D67" w:rsidRDefault="00A324C3" w:rsidP="00407D0A">
            <w:pPr>
              <w:jc w:val="left"/>
              <w:rPr>
                <w:sz w:val="17"/>
                <w:szCs w:val="17"/>
              </w:rPr>
            </w:pPr>
            <w:hyperlink r:id="rId165" w:history="1">
              <w:proofErr w:type="spellStart"/>
              <w:r w:rsidR="00407D0A" w:rsidRPr="00166D67">
                <w:rPr>
                  <w:rStyle w:val="Hyperlink"/>
                  <w:sz w:val="17"/>
                  <w:szCs w:val="17"/>
                </w:rPr>
                <w:t>Macroprudential</w:t>
              </w:r>
              <w:proofErr w:type="spellEnd"/>
              <w:r w:rsidR="00407D0A" w:rsidRPr="00166D67">
                <w:rPr>
                  <w:rStyle w:val="Hyperlink"/>
                  <w:sz w:val="17"/>
                  <w:szCs w:val="17"/>
                </w:rPr>
                <w:t xml:space="preserve"> measures taken by national authorities since the outbreak of the coronavirus pandemic</w:t>
              </w:r>
            </w:hyperlink>
          </w:p>
        </w:tc>
        <w:tc>
          <w:tcPr>
            <w:tcW w:w="1819" w:type="dxa"/>
            <w:shd w:val="clear" w:color="auto" w:fill="auto"/>
          </w:tcPr>
          <w:p w14:paraId="38ED4F68" w14:textId="77777777" w:rsidR="00407D0A" w:rsidRPr="00166D67" w:rsidRDefault="00407D0A" w:rsidP="00407D0A">
            <w:pPr>
              <w:jc w:val="left"/>
              <w:rPr>
                <w:sz w:val="17"/>
                <w:szCs w:val="17"/>
              </w:rPr>
            </w:pPr>
          </w:p>
        </w:tc>
        <w:tc>
          <w:tcPr>
            <w:tcW w:w="2155" w:type="dxa"/>
            <w:shd w:val="clear" w:color="auto" w:fill="auto"/>
          </w:tcPr>
          <w:p w14:paraId="030C2AA4" w14:textId="5C698B20" w:rsidR="00407D0A" w:rsidRPr="00166D67" w:rsidRDefault="00407D0A" w:rsidP="00407D0A">
            <w:pPr>
              <w:jc w:val="left"/>
              <w:rPr>
                <w:sz w:val="17"/>
                <w:szCs w:val="17"/>
              </w:rPr>
            </w:pPr>
            <w:r w:rsidRPr="00166D67">
              <w:rPr>
                <w:sz w:val="17"/>
                <w:szCs w:val="17"/>
              </w:rPr>
              <w:t xml:space="preserve">Credit Institutions </w:t>
            </w:r>
          </w:p>
        </w:tc>
        <w:tc>
          <w:tcPr>
            <w:tcW w:w="5523" w:type="dxa"/>
            <w:shd w:val="clear" w:color="auto" w:fill="auto"/>
          </w:tcPr>
          <w:p w14:paraId="04CC919A" w14:textId="14320CD7" w:rsidR="00407D0A" w:rsidRPr="00166D67" w:rsidRDefault="00407D0A" w:rsidP="00407D0A">
            <w:pPr>
              <w:jc w:val="left"/>
              <w:rPr>
                <w:sz w:val="17"/>
                <w:szCs w:val="17"/>
              </w:rPr>
            </w:pPr>
            <w:r w:rsidRPr="00166D67">
              <w:rPr>
                <w:sz w:val="17"/>
                <w:szCs w:val="17"/>
              </w:rPr>
              <w:t xml:space="preserve">The ECB has published an overview of </w:t>
            </w:r>
            <w:proofErr w:type="spellStart"/>
            <w:r w:rsidRPr="00166D67">
              <w:rPr>
                <w:sz w:val="17"/>
                <w:szCs w:val="17"/>
              </w:rPr>
              <w:t>macroprudential</w:t>
            </w:r>
            <w:proofErr w:type="spellEnd"/>
            <w:r w:rsidRPr="00166D67">
              <w:rPr>
                <w:sz w:val="17"/>
                <w:szCs w:val="17"/>
              </w:rPr>
              <w:t xml:space="preserve"> policy measures taken by NCAs in euro area countries since 11 March 2020. These include a reduction in capital requirements through releasing capital buffers such as the </w:t>
            </w:r>
            <w:proofErr w:type="spellStart"/>
            <w:r w:rsidRPr="00166D67">
              <w:rPr>
                <w:sz w:val="17"/>
                <w:szCs w:val="17"/>
              </w:rPr>
              <w:t>CCyB</w:t>
            </w:r>
            <w:proofErr w:type="spellEnd"/>
            <w:r w:rsidRPr="00166D67">
              <w:rPr>
                <w:sz w:val="17"/>
                <w:szCs w:val="17"/>
              </w:rPr>
              <w:t>. The ECB has calculated that these measures will free up over €20 billion of Common Equity Tier 1 capital, helping euro area banks absorb losses and provide credit to the economy during the ongoing crisis.</w:t>
            </w:r>
          </w:p>
        </w:tc>
      </w:tr>
      <w:tr w:rsidR="00407D0A" w:rsidRPr="00166D67" w14:paraId="48EC7BE8" w14:textId="77777777" w:rsidTr="001701F9">
        <w:trPr>
          <w:cantSplit/>
        </w:trPr>
        <w:tc>
          <w:tcPr>
            <w:tcW w:w="1097" w:type="dxa"/>
            <w:shd w:val="clear" w:color="auto" w:fill="auto"/>
          </w:tcPr>
          <w:p w14:paraId="3D7E7150" w14:textId="6E499EB2" w:rsidR="00407D0A" w:rsidRPr="007F1827" w:rsidRDefault="00407D0A" w:rsidP="00407D0A">
            <w:pPr>
              <w:jc w:val="left"/>
              <w:rPr>
                <w:b/>
                <w:sz w:val="17"/>
                <w:szCs w:val="17"/>
              </w:rPr>
            </w:pPr>
            <w:r w:rsidRPr="007F1827">
              <w:rPr>
                <w:rFonts w:asciiTheme="majorHAnsi" w:hAnsiTheme="majorHAnsi" w:cstheme="majorHAnsi"/>
                <w:b/>
                <w:sz w:val="17"/>
                <w:szCs w:val="17"/>
              </w:rPr>
              <w:t>16 April 2020</w:t>
            </w:r>
          </w:p>
        </w:tc>
        <w:tc>
          <w:tcPr>
            <w:tcW w:w="1880" w:type="dxa"/>
            <w:shd w:val="clear" w:color="auto" w:fill="auto"/>
          </w:tcPr>
          <w:p w14:paraId="1959F32D" w14:textId="77777777" w:rsidR="00407D0A" w:rsidRPr="00166D67" w:rsidRDefault="00A324C3" w:rsidP="00407D0A">
            <w:pPr>
              <w:jc w:val="left"/>
              <w:rPr>
                <w:rFonts w:asciiTheme="majorHAnsi" w:hAnsiTheme="majorHAnsi" w:cstheme="majorHAnsi"/>
                <w:color w:val="0563C1"/>
                <w:sz w:val="17"/>
                <w:szCs w:val="17"/>
                <w:u w:val="single"/>
              </w:rPr>
            </w:pPr>
            <w:hyperlink r:id="rId166" w:history="1">
              <w:r w:rsidR="00407D0A" w:rsidRPr="00166D67">
                <w:rPr>
                  <w:rStyle w:val="Hyperlink"/>
                  <w:rFonts w:asciiTheme="majorHAnsi" w:hAnsiTheme="majorHAnsi" w:cstheme="majorHAnsi"/>
                  <w:sz w:val="17"/>
                  <w:szCs w:val="17"/>
                </w:rPr>
                <w:t>ECB announcement on temporary relief for capital requirements for market risk</w:t>
              </w:r>
            </w:hyperlink>
          </w:p>
          <w:p w14:paraId="36CDE267" w14:textId="77777777" w:rsidR="00407D0A" w:rsidRPr="00166D67" w:rsidRDefault="00407D0A" w:rsidP="00407D0A">
            <w:pPr>
              <w:jc w:val="left"/>
              <w:rPr>
                <w:sz w:val="17"/>
                <w:szCs w:val="17"/>
              </w:rPr>
            </w:pPr>
          </w:p>
        </w:tc>
        <w:tc>
          <w:tcPr>
            <w:tcW w:w="1819" w:type="dxa"/>
            <w:shd w:val="clear" w:color="auto" w:fill="auto"/>
          </w:tcPr>
          <w:p w14:paraId="1373692E" w14:textId="77777777" w:rsidR="00407D0A" w:rsidRPr="00166D67" w:rsidRDefault="00407D0A" w:rsidP="00407D0A">
            <w:pPr>
              <w:jc w:val="left"/>
              <w:rPr>
                <w:sz w:val="17"/>
                <w:szCs w:val="17"/>
              </w:rPr>
            </w:pPr>
          </w:p>
        </w:tc>
        <w:tc>
          <w:tcPr>
            <w:tcW w:w="2155" w:type="dxa"/>
            <w:shd w:val="clear" w:color="auto" w:fill="auto"/>
          </w:tcPr>
          <w:p w14:paraId="4D96C26E" w14:textId="2AD2B707" w:rsidR="00407D0A" w:rsidRPr="00166D67" w:rsidRDefault="00407D0A" w:rsidP="00407D0A">
            <w:pPr>
              <w:jc w:val="left"/>
              <w:rPr>
                <w:sz w:val="17"/>
                <w:szCs w:val="17"/>
              </w:rPr>
            </w:pPr>
            <w:r w:rsidRPr="00166D67">
              <w:rPr>
                <w:rFonts w:asciiTheme="majorHAnsi" w:hAnsiTheme="majorHAnsi" w:cstheme="majorHAnsi"/>
                <w:sz w:val="17"/>
                <w:szCs w:val="17"/>
              </w:rPr>
              <w:t>ECB supervised financial institutions</w:t>
            </w:r>
          </w:p>
        </w:tc>
        <w:tc>
          <w:tcPr>
            <w:tcW w:w="5523" w:type="dxa"/>
            <w:shd w:val="clear" w:color="auto" w:fill="auto"/>
          </w:tcPr>
          <w:p w14:paraId="47BB0855" w14:textId="77777777" w:rsidR="00407D0A" w:rsidRPr="00166D67" w:rsidRDefault="00407D0A" w:rsidP="00407D0A">
            <w:pPr>
              <w:jc w:val="left"/>
              <w:rPr>
                <w:rFonts w:asciiTheme="majorHAnsi" w:hAnsiTheme="majorHAnsi" w:cstheme="majorHAnsi"/>
                <w:color w:val="000000"/>
                <w:sz w:val="17"/>
                <w:szCs w:val="17"/>
              </w:rPr>
            </w:pPr>
            <w:r w:rsidRPr="00166D67">
              <w:rPr>
                <w:rFonts w:asciiTheme="majorHAnsi" w:hAnsiTheme="majorHAnsi" w:cstheme="majorHAnsi"/>
                <w:color w:val="000000"/>
                <w:sz w:val="17"/>
                <w:szCs w:val="17"/>
              </w:rPr>
              <w:t xml:space="preserve">Temporary relief for capital requirements for market risk was announced by the ECB. </w:t>
            </w:r>
          </w:p>
          <w:p w14:paraId="2BADE30F" w14:textId="44F3601D" w:rsidR="00407D0A" w:rsidRPr="00166D67" w:rsidRDefault="00407D0A" w:rsidP="00407D0A">
            <w:pPr>
              <w:jc w:val="left"/>
              <w:rPr>
                <w:sz w:val="17"/>
                <w:szCs w:val="17"/>
              </w:rPr>
            </w:pPr>
            <w:r w:rsidRPr="00166D67">
              <w:rPr>
                <w:rFonts w:asciiTheme="majorHAnsi" w:hAnsiTheme="majorHAnsi" w:cstheme="majorHAnsi"/>
                <w:color w:val="000000"/>
                <w:sz w:val="17"/>
                <w:szCs w:val="17"/>
              </w:rPr>
              <w:t>The qualitative market risk multiplier is reduced which is intended to smooth pro-cyclicality and maintain the ability of financial institutions to provide market liquidity and continue market-making activities.</w:t>
            </w:r>
          </w:p>
        </w:tc>
      </w:tr>
      <w:tr w:rsidR="00407D0A" w:rsidRPr="00166D67" w14:paraId="17654109" w14:textId="77777777" w:rsidTr="001701F9">
        <w:trPr>
          <w:cantSplit/>
        </w:trPr>
        <w:tc>
          <w:tcPr>
            <w:tcW w:w="1097" w:type="dxa"/>
            <w:shd w:val="clear" w:color="auto" w:fill="auto"/>
          </w:tcPr>
          <w:p w14:paraId="0BC27EC1" w14:textId="1C1EAFD8" w:rsidR="00407D0A" w:rsidRPr="007F1827" w:rsidRDefault="00407D0A" w:rsidP="00407D0A">
            <w:pPr>
              <w:jc w:val="left"/>
              <w:rPr>
                <w:b/>
                <w:sz w:val="17"/>
                <w:szCs w:val="17"/>
              </w:rPr>
            </w:pPr>
            <w:r w:rsidRPr="007F1827">
              <w:rPr>
                <w:rFonts w:asciiTheme="majorHAnsi" w:hAnsiTheme="majorHAnsi" w:cstheme="majorHAnsi"/>
                <w:b/>
                <w:sz w:val="17"/>
                <w:szCs w:val="17"/>
              </w:rPr>
              <w:t xml:space="preserve">22 April 2020 </w:t>
            </w:r>
          </w:p>
        </w:tc>
        <w:tc>
          <w:tcPr>
            <w:tcW w:w="1880" w:type="dxa"/>
            <w:shd w:val="clear" w:color="auto" w:fill="auto"/>
          </w:tcPr>
          <w:p w14:paraId="3F85666A" w14:textId="405D0590" w:rsidR="00407D0A" w:rsidRPr="00166D67" w:rsidRDefault="00A324C3" w:rsidP="00407D0A">
            <w:pPr>
              <w:jc w:val="left"/>
              <w:rPr>
                <w:sz w:val="17"/>
                <w:szCs w:val="17"/>
              </w:rPr>
            </w:pPr>
            <w:hyperlink r:id="rId167" w:history="1">
              <w:r w:rsidR="00407D0A" w:rsidRPr="00166D67">
                <w:rPr>
                  <w:rStyle w:val="Hyperlink"/>
                  <w:rFonts w:asciiTheme="majorHAnsi" w:hAnsiTheme="majorHAnsi" w:cstheme="majorHAnsi"/>
                  <w:sz w:val="17"/>
                  <w:szCs w:val="17"/>
                  <w:shd w:val="clear" w:color="auto" w:fill="FFFFFF"/>
                </w:rPr>
                <w:t>ECB takes steps to mitigate impact of possible rating downgrades on collateral availability</w:t>
              </w:r>
            </w:hyperlink>
            <w:r w:rsidR="00407D0A" w:rsidRPr="00166D67">
              <w:rPr>
                <w:rFonts w:asciiTheme="majorHAnsi" w:hAnsiTheme="majorHAnsi" w:cstheme="majorHAnsi"/>
                <w:color w:val="2CD5C4" w:themeColor="accent1"/>
                <w:sz w:val="17"/>
                <w:szCs w:val="17"/>
                <w:shd w:val="clear" w:color="auto" w:fill="FFFFFF"/>
              </w:rPr>
              <w:t xml:space="preserve"> </w:t>
            </w:r>
          </w:p>
        </w:tc>
        <w:tc>
          <w:tcPr>
            <w:tcW w:w="1819" w:type="dxa"/>
            <w:shd w:val="clear" w:color="auto" w:fill="auto"/>
          </w:tcPr>
          <w:p w14:paraId="7BB6C21A" w14:textId="77777777" w:rsidR="00407D0A" w:rsidRPr="00166D67" w:rsidRDefault="00407D0A" w:rsidP="00407D0A">
            <w:pPr>
              <w:jc w:val="left"/>
              <w:rPr>
                <w:sz w:val="17"/>
                <w:szCs w:val="17"/>
              </w:rPr>
            </w:pPr>
          </w:p>
        </w:tc>
        <w:tc>
          <w:tcPr>
            <w:tcW w:w="2155" w:type="dxa"/>
            <w:shd w:val="clear" w:color="auto" w:fill="auto"/>
          </w:tcPr>
          <w:p w14:paraId="2D41583B" w14:textId="40163EAC" w:rsidR="00407D0A" w:rsidRPr="00166D67" w:rsidRDefault="00407D0A" w:rsidP="00407D0A">
            <w:pPr>
              <w:jc w:val="left"/>
              <w:rPr>
                <w:sz w:val="17"/>
                <w:szCs w:val="17"/>
              </w:rPr>
            </w:pPr>
            <w:r w:rsidRPr="00166D67">
              <w:rPr>
                <w:rFonts w:asciiTheme="majorHAnsi" w:hAnsiTheme="majorHAnsi" w:cstheme="majorHAnsi"/>
                <w:sz w:val="17"/>
                <w:szCs w:val="17"/>
              </w:rPr>
              <w:t>ECB supervised financial institutions</w:t>
            </w:r>
          </w:p>
        </w:tc>
        <w:tc>
          <w:tcPr>
            <w:tcW w:w="5523" w:type="dxa"/>
            <w:shd w:val="clear" w:color="auto" w:fill="auto"/>
          </w:tcPr>
          <w:p w14:paraId="569A82E8" w14:textId="77777777"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The ECB announced temporary measures to mitigate the impact of ratings downgrades on the availability of collateral, including:</w:t>
            </w:r>
          </w:p>
          <w:p w14:paraId="671F390F" w14:textId="673611BE" w:rsidR="00407D0A" w:rsidRPr="00166D67" w:rsidRDefault="00407D0A" w:rsidP="00407D0A">
            <w:pPr>
              <w:pStyle w:val="ListParagraph"/>
              <w:numPr>
                <w:ilvl w:val="0"/>
                <w:numId w:val="11"/>
              </w:numPr>
              <w:jc w:val="left"/>
              <w:rPr>
                <w:rFonts w:asciiTheme="majorHAnsi" w:hAnsiTheme="majorHAnsi" w:cstheme="majorHAnsi"/>
                <w:sz w:val="17"/>
                <w:szCs w:val="17"/>
              </w:rPr>
            </w:pPr>
            <w:r w:rsidRPr="00166D67">
              <w:rPr>
                <w:rFonts w:asciiTheme="majorHAnsi" w:hAnsiTheme="majorHAnsi" w:cstheme="majorHAnsi"/>
                <w:sz w:val="17"/>
                <w:szCs w:val="17"/>
              </w:rPr>
              <w:t xml:space="preserve">marketable assets that met the minimum credit quality requirements for collateral eligibility on 7 April will continue to be eligible in the event of rating downgrades, as long as their rating remains at or above credit quality step (CQS) 5 on the </w:t>
            </w:r>
            <w:proofErr w:type="spellStart"/>
            <w:r w:rsidRPr="00166D67">
              <w:rPr>
                <w:rFonts w:asciiTheme="majorHAnsi" w:hAnsiTheme="majorHAnsi" w:cstheme="majorHAnsi"/>
                <w:sz w:val="17"/>
                <w:szCs w:val="17"/>
              </w:rPr>
              <w:t>Eurosystem</w:t>
            </w:r>
            <w:proofErr w:type="spellEnd"/>
            <w:r w:rsidRPr="00166D67">
              <w:rPr>
                <w:rFonts w:asciiTheme="majorHAnsi" w:hAnsiTheme="majorHAnsi" w:cstheme="majorHAnsi"/>
                <w:sz w:val="17"/>
                <w:szCs w:val="17"/>
              </w:rPr>
              <w:t xml:space="preserve"> harmonised rating scale and they continue to fulfil all other existing collateral eligibility criteria</w:t>
            </w:r>
          </w:p>
          <w:p w14:paraId="3E68FEED" w14:textId="19CC6879" w:rsidR="00407D0A" w:rsidRPr="00166D67" w:rsidRDefault="00407D0A" w:rsidP="00407D0A">
            <w:pPr>
              <w:pStyle w:val="ListParagraph"/>
              <w:numPr>
                <w:ilvl w:val="0"/>
                <w:numId w:val="11"/>
              </w:numPr>
              <w:jc w:val="left"/>
              <w:rPr>
                <w:rFonts w:asciiTheme="majorHAnsi" w:hAnsiTheme="majorHAnsi" w:cstheme="majorHAnsi"/>
                <w:sz w:val="17"/>
                <w:szCs w:val="17"/>
              </w:rPr>
            </w:pPr>
            <w:r w:rsidRPr="00166D67">
              <w:rPr>
                <w:rFonts w:asciiTheme="majorHAnsi" w:hAnsiTheme="majorHAnsi" w:cstheme="majorHAnsi"/>
                <w:sz w:val="17"/>
                <w:szCs w:val="17"/>
              </w:rPr>
              <w:t>future issuance  from grandfathered issuers will also be eligible provided they fulfil all other collateral eligibility criteria</w:t>
            </w:r>
          </w:p>
          <w:p w14:paraId="13BFC87D" w14:textId="27D1211F" w:rsidR="00407D0A" w:rsidRPr="00166D67" w:rsidRDefault="00407D0A" w:rsidP="00407D0A">
            <w:pPr>
              <w:pStyle w:val="ListParagraph"/>
              <w:numPr>
                <w:ilvl w:val="0"/>
                <w:numId w:val="11"/>
              </w:numPr>
              <w:jc w:val="left"/>
              <w:rPr>
                <w:rFonts w:asciiTheme="majorHAnsi" w:hAnsiTheme="majorHAnsi" w:cstheme="majorHAnsi"/>
                <w:sz w:val="17"/>
                <w:szCs w:val="17"/>
              </w:rPr>
            </w:pPr>
            <w:r w:rsidRPr="00166D67">
              <w:rPr>
                <w:rFonts w:asciiTheme="majorHAnsi" w:hAnsiTheme="majorHAnsi" w:cstheme="majorHAnsi"/>
                <w:sz w:val="17"/>
                <w:szCs w:val="17"/>
              </w:rPr>
              <w:t>currently eligible ABSs with a rating threshold in the general framework of XQS2 (A-) will be grandfathered as long as their rating remains at or above CQS4</w:t>
            </w:r>
          </w:p>
          <w:p w14:paraId="3EE2A1C8" w14:textId="314B3D5E" w:rsidR="00407D0A" w:rsidRPr="00166D67" w:rsidRDefault="00407D0A" w:rsidP="00407D0A">
            <w:pPr>
              <w:pStyle w:val="ListParagraph"/>
              <w:numPr>
                <w:ilvl w:val="0"/>
                <w:numId w:val="11"/>
              </w:numPr>
              <w:jc w:val="left"/>
              <w:rPr>
                <w:rFonts w:asciiTheme="majorHAnsi" w:hAnsiTheme="majorHAnsi" w:cstheme="majorHAnsi"/>
                <w:sz w:val="17"/>
                <w:szCs w:val="17"/>
              </w:rPr>
            </w:pPr>
            <w:r w:rsidRPr="00166D67">
              <w:rPr>
                <w:rFonts w:asciiTheme="majorHAnsi" w:hAnsiTheme="majorHAnsi" w:cstheme="majorHAnsi"/>
                <w:sz w:val="17"/>
                <w:szCs w:val="17"/>
              </w:rPr>
              <w:t xml:space="preserve">assets that fall below the minimum credit quality requirements will be subject to haircuts based on actual ratings </w:t>
            </w:r>
          </w:p>
        </w:tc>
      </w:tr>
      <w:tr w:rsidR="00407D0A" w:rsidRPr="00166D67" w14:paraId="67C70FFC" w14:textId="77777777" w:rsidTr="001701F9">
        <w:trPr>
          <w:cantSplit/>
        </w:trPr>
        <w:tc>
          <w:tcPr>
            <w:tcW w:w="1097" w:type="dxa"/>
            <w:shd w:val="clear" w:color="auto" w:fill="auto"/>
          </w:tcPr>
          <w:p w14:paraId="7BAADD93" w14:textId="1359CCE1" w:rsidR="00407D0A" w:rsidRPr="007F1827" w:rsidRDefault="00407D0A" w:rsidP="00407D0A">
            <w:pPr>
              <w:jc w:val="left"/>
              <w:rPr>
                <w:b/>
                <w:sz w:val="17"/>
                <w:szCs w:val="17"/>
              </w:rPr>
            </w:pPr>
            <w:r w:rsidRPr="007F1827">
              <w:rPr>
                <w:rFonts w:asciiTheme="majorHAnsi" w:hAnsiTheme="majorHAnsi" w:cstheme="majorHAnsi"/>
                <w:b/>
                <w:sz w:val="17"/>
                <w:szCs w:val="17"/>
              </w:rPr>
              <w:t>30 April 2020</w:t>
            </w:r>
          </w:p>
        </w:tc>
        <w:tc>
          <w:tcPr>
            <w:tcW w:w="1880" w:type="dxa"/>
            <w:shd w:val="clear" w:color="auto" w:fill="auto"/>
          </w:tcPr>
          <w:p w14:paraId="7715A050" w14:textId="014CABDB" w:rsidR="00407D0A" w:rsidRPr="00166D67" w:rsidRDefault="00A324C3" w:rsidP="00407D0A">
            <w:pPr>
              <w:jc w:val="left"/>
              <w:rPr>
                <w:rFonts w:asciiTheme="majorHAnsi" w:hAnsiTheme="majorHAnsi" w:cstheme="majorHAnsi"/>
                <w:color w:val="0563C1"/>
                <w:sz w:val="17"/>
                <w:szCs w:val="17"/>
                <w:u w:val="single"/>
              </w:rPr>
            </w:pPr>
            <w:hyperlink r:id="rId168" w:history="1">
              <w:r w:rsidR="00407D0A" w:rsidRPr="00166D67">
                <w:rPr>
                  <w:rStyle w:val="Hyperlink"/>
                  <w:rFonts w:asciiTheme="majorHAnsi" w:hAnsiTheme="majorHAnsi" w:cstheme="majorHAnsi"/>
                  <w:sz w:val="17"/>
                  <w:szCs w:val="17"/>
                </w:rPr>
                <w:t>ECB</w:t>
              </w:r>
            </w:hyperlink>
            <w:r w:rsidR="00407D0A" w:rsidRPr="00166D67">
              <w:rPr>
                <w:rStyle w:val="Hyperlink"/>
                <w:rFonts w:asciiTheme="majorHAnsi" w:hAnsiTheme="majorHAnsi" w:cstheme="majorHAnsi"/>
                <w:sz w:val="17"/>
                <w:szCs w:val="17"/>
              </w:rPr>
              <w:t xml:space="preserve"> recalibrates targeted lending operations to further support real economy </w:t>
            </w:r>
          </w:p>
          <w:p w14:paraId="65035972" w14:textId="77777777" w:rsidR="00407D0A" w:rsidRPr="00166D67" w:rsidRDefault="00407D0A" w:rsidP="00407D0A">
            <w:pPr>
              <w:jc w:val="left"/>
              <w:rPr>
                <w:sz w:val="17"/>
                <w:szCs w:val="17"/>
              </w:rPr>
            </w:pPr>
          </w:p>
        </w:tc>
        <w:tc>
          <w:tcPr>
            <w:tcW w:w="1819" w:type="dxa"/>
            <w:shd w:val="clear" w:color="auto" w:fill="auto"/>
          </w:tcPr>
          <w:p w14:paraId="4C8B4CCB" w14:textId="77777777" w:rsidR="00407D0A" w:rsidRPr="00166D67" w:rsidRDefault="00407D0A" w:rsidP="00407D0A">
            <w:pPr>
              <w:jc w:val="left"/>
              <w:rPr>
                <w:sz w:val="17"/>
                <w:szCs w:val="17"/>
              </w:rPr>
            </w:pPr>
          </w:p>
        </w:tc>
        <w:tc>
          <w:tcPr>
            <w:tcW w:w="2155" w:type="dxa"/>
            <w:shd w:val="clear" w:color="auto" w:fill="auto"/>
          </w:tcPr>
          <w:p w14:paraId="170DF48B" w14:textId="13B40F55" w:rsidR="00407D0A" w:rsidRPr="00166D67" w:rsidRDefault="00407D0A" w:rsidP="00407D0A">
            <w:pPr>
              <w:jc w:val="left"/>
              <w:rPr>
                <w:sz w:val="17"/>
                <w:szCs w:val="17"/>
              </w:rPr>
            </w:pPr>
            <w:r w:rsidRPr="00166D67">
              <w:rPr>
                <w:rFonts w:asciiTheme="majorHAnsi" w:hAnsiTheme="majorHAnsi" w:cstheme="majorHAnsi"/>
                <w:sz w:val="17"/>
                <w:szCs w:val="17"/>
              </w:rPr>
              <w:t>Lenders</w:t>
            </w:r>
          </w:p>
        </w:tc>
        <w:tc>
          <w:tcPr>
            <w:tcW w:w="5523" w:type="dxa"/>
            <w:shd w:val="clear" w:color="auto" w:fill="auto"/>
          </w:tcPr>
          <w:p w14:paraId="7DBCE380" w14:textId="77777777"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The ECB announced a number of changes to the terms and conditions of its targeted longer-term refinancing operations (TLTRO III) in order to support the provision of credit to households and firms. In particular:</w:t>
            </w:r>
          </w:p>
          <w:p w14:paraId="5270AB79" w14:textId="5370D523" w:rsidR="00407D0A" w:rsidRPr="00166D67" w:rsidRDefault="00407D0A" w:rsidP="00407D0A">
            <w:pPr>
              <w:pStyle w:val="ListParagraph"/>
              <w:numPr>
                <w:ilvl w:val="0"/>
                <w:numId w:val="11"/>
              </w:numPr>
              <w:jc w:val="left"/>
              <w:rPr>
                <w:rFonts w:asciiTheme="majorHAnsi" w:hAnsiTheme="majorHAnsi" w:cstheme="majorHAnsi"/>
                <w:sz w:val="17"/>
                <w:szCs w:val="17"/>
              </w:rPr>
            </w:pPr>
            <w:r w:rsidRPr="00166D67">
              <w:rPr>
                <w:rFonts w:asciiTheme="majorHAnsi" w:hAnsiTheme="majorHAnsi" w:cstheme="majorHAnsi"/>
                <w:sz w:val="17"/>
                <w:szCs w:val="17"/>
              </w:rPr>
              <w:t>the interest rate on all targeted longer-term refinancing operations will be reduced by    25 basis points to -0.5% from June 2020 to June 2021</w:t>
            </w:r>
          </w:p>
          <w:p w14:paraId="476F121B" w14:textId="6788408A" w:rsidR="00407D0A" w:rsidRPr="00166D67" w:rsidRDefault="00407D0A" w:rsidP="00407D0A">
            <w:pPr>
              <w:pStyle w:val="ListParagraph"/>
              <w:numPr>
                <w:ilvl w:val="0"/>
                <w:numId w:val="11"/>
              </w:numPr>
              <w:jc w:val="left"/>
              <w:rPr>
                <w:rFonts w:asciiTheme="majorHAnsi" w:hAnsiTheme="majorHAnsi" w:cstheme="majorHAnsi"/>
                <w:sz w:val="17"/>
                <w:szCs w:val="17"/>
              </w:rPr>
            </w:pPr>
            <w:r w:rsidRPr="00166D67">
              <w:rPr>
                <w:rFonts w:asciiTheme="majorHAnsi" w:hAnsiTheme="majorHAnsi" w:cstheme="majorHAnsi"/>
                <w:sz w:val="17"/>
                <w:szCs w:val="17"/>
              </w:rPr>
              <w:t>for banks meeting the lending threshold of 0% introduced on 12 March 2020 the   interest rate can be as low as -1%</w:t>
            </w:r>
          </w:p>
          <w:p w14:paraId="0D6B4873" w14:textId="671EFA97" w:rsidR="00407D0A" w:rsidRPr="00166D67" w:rsidRDefault="00407D0A" w:rsidP="00407D0A">
            <w:pPr>
              <w:pStyle w:val="ListParagraph"/>
              <w:numPr>
                <w:ilvl w:val="0"/>
                <w:numId w:val="11"/>
              </w:numPr>
              <w:jc w:val="left"/>
              <w:rPr>
                <w:rFonts w:asciiTheme="majorHAnsi" w:hAnsiTheme="majorHAnsi" w:cstheme="majorHAnsi"/>
                <w:sz w:val="17"/>
                <w:szCs w:val="17"/>
              </w:rPr>
            </w:pPr>
            <w:proofErr w:type="gramStart"/>
            <w:r w:rsidRPr="00166D67">
              <w:rPr>
                <w:rFonts w:asciiTheme="majorHAnsi" w:hAnsiTheme="majorHAnsi" w:cstheme="majorHAnsi"/>
                <w:sz w:val="17"/>
                <w:szCs w:val="17"/>
              </w:rPr>
              <w:t>the</w:t>
            </w:r>
            <w:proofErr w:type="gramEnd"/>
            <w:r w:rsidRPr="00166D67">
              <w:rPr>
                <w:rFonts w:asciiTheme="majorHAnsi" w:hAnsiTheme="majorHAnsi" w:cstheme="majorHAnsi"/>
                <w:sz w:val="17"/>
                <w:szCs w:val="17"/>
              </w:rPr>
              <w:t xml:space="preserve"> start of the lending assessment period will be brought forward to 1 March 2020.</w:t>
            </w:r>
          </w:p>
        </w:tc>
      </w:tr>
      <w:tr w:rsidR="00407D0A" w:rsidRPr="00166D67" w14:paraId="35C4E2F9" w14:textId="77777777" w:rsidTr="001701F9">
        <w:trPr>
          <w:cantSplit/>
        </w:trPr>
        <w:tc>
          <w:tcPr>
            <w:tcW w:w="1097" w:type="dxa"/>
            <w:shd w:val="clear" w:color="auto" w:fill="auto"/>
          </w:tcPr>
          <w:p w14:paraId="4F114E9C" w14:textId="752537BA" w:rsidR="00407D0A" w:rsidRPr="007F1827" w:rsidRDefault="00407D0A" w:rsidP="00407D0A">
            <w:pPr>
              <w:jc w:val="left"/>
              <w:rPr>
                <w:b/>
                <w:sz w:val="17"/>
                <w:szCs w:val="17"/>
              </w:rPr>
            </w:pPr>
            <w:r w:rsidRPr="007F1827">
              <w:rPr>
                <w:rFonts w:asciiTheme="majorHAnsi" w:hAnsiTheme="majorHAnsi" w:cstheme="majorHAnsi"/>
                <w:b/>
                <w:sz w:val="17"/>
                <w:szCs w:val="17"/>
              </w:rPr>
              <w:t>30 April 2020</w:t>
            </w:r>
          </w:p>
        </w:tc>
        <w:tc>
          <w:tcPr>
            <w:tcW w:w="1880" w:type="dxa"/>
            <w:shd w:val="clear" w:color="auto" w:fill="auto"/>
          </w:tcPr>
          <w:p w14:paraId="66019F32" w14:textId="037105C3" w:rsidR="00407D0A" w:rsidRPr="00166D67" w:rsidRDefault="00A324C3" w:rsidP="00407D0A">
            <w:pPr>
              <w:jc w:val="left"/>
              <w:rPr>
                <w:rFonts w:asciiTheme="majorHAnsi" w:hAnsiTheme="majorHAnsi" w:cstheme="majorHAnsi"/>
                <w:color w:val="0563C1"/>
                <w:sz w:val="17"/>
                <w:szCs w:val="17"/>
                <w:u w:val="single"/>
              </w:rPr>
            </w:pPr>
            <w:hyperlink r:id="rId169" w:history="1">
              <w:r w:rsidR="00407D0A" w:rsidRPr="00166D67">
                <w:rPr>
                  <w:rStyle w:val="Hyperlink"/>
                  <w:rFonts w:asciiTheme="majorHAnsi" w:hAnsiTheme="majorHAnsi" w:cstheme="majorHAnsi"/>
                  <w:sz w:val="17"/>
                  <w:szCs w:val="17"/>
                </w:rPr>
                <w:t>ECB</w:t>
              </w:r>
            </w:hyperlink>
            <w:r w:rsidR="00407D0A" w:rsidRPr="00166D67">
              <w:rPr>
                <w:rStyle w:val="Hyperlink"/>
                <w:rFonts w:asciiTheme="majorHAnsi" w:hAnsiTheme="majorHAnsi" w:cstheme="majorHAnsi"/>
                <w:sz w:val="17"/>
                <w:szCs w:val="17"/>
              </w:rPr>
              <w:t xml:space="preserve"> announces new pandemic emergency longer-term refinancing operations</w:t>
            </w:r>
          </w:p>
        </w:tc>
        <w:tc>
          <w:tcPr>
            <w:tcW w:w="1819" w:type="dxa"/>
            <w:shd w:val="clear" w:color="auto" w:fill="auto"/>
          </w:tcPr>
          <w:p w14:paraId="674529E9" w14:textId="77777777" w:rsidR="00407D0A" w:rsidRPr="00166D67" w:rsidRDefault="00407D0A" w:rsidP="00407D0A">
            <w:pPr>
              <w:jc w:val="left"/>
              <w:rPr>
                <w:sz w:val="17"/>
                <w:szCs w:val="17"/>
              </w:rPr>
            </w:pPr>
          </w:p>
        </w:tc>
        <w:tc>
          <w:tcPr>
            <w:tcW w:w="2155" w:type="dxa"/>
            <w:shd w:val="clear" w:color="auto" w:fill="auto"/>
          </w:tcPr>
          <w:p w14:paraId="6365CD4C" w14:textId="046FAC72" w:rsidR="00407D0A" w:rsidRPr="00166D67" w:rsidRDefault="00407D0A" w:rsidP="00407D0A">
            <w:pPr>
              <w:jc w:val="left"/>
              <w:rPr>
                <w:sz w:val="17"/>
                <w:szCs w:val="17"/>
              </w:rPr>
            </w:pPr>
            <w:r w:rsidRPr="00166D67">
              <w:rPr>
                <w:rFonts w:asciiTheme="majorHAnsi" w:hAnsiTheme="majorHAnsi" w:cstheme="majorHAnsi"/>
                <w:sz w:val="17"/>
                <w:szCs w:val="17"/>
              </w:rPr>
              <w:t xml:space="preserve">Market Participants </w:t>
            </w:r>
          </w:p>
        </w:tc>
        <w:tc>
          <w:tcPr>
            <w:tcW w:w="5523" w:type="dxa"/>
            <w:shd w:val="clear" w:color="auto" w:fill="auto"/>
          </w:tcPr>
          <w:p w14:paraId="5381CDE6" w14:textId="4AF0BADF" w:rsidR="00407D0A" w:rsidRPr="00166D67" w:rsidRDefault="00407D0A" w:rsidP="00407D0A">
            <w:pPr>
              <w:jc w:val="left"/>
              <w:rPr>
                <w:sz w:val="17"/>
                <w:szCs w:val="17"/>
              </w:rPr>
            </w:pPr>
            <w:r w:rsidRPr="00166D67">
              <w:rPr>
                <w:rFonts w:asciiTheme="majorHAnsi" w:hAnsiTheme="majorHAnsi" w:cstheme="majorHAnsi"/>
                <w:sz w:val="17"/>
                <w:szCs w:val="17"/>
              </w:rPr>
              <w:t xml:space="preserve">The ECB announced pandemic emergency longer-term refinancing operations (PELTROs). PELTROs are intended to provide liquidity support to the </w:t>
            </w:r>
            <w:proofErr w:type="spellStart"/>
            <w:r w:rsidRPr="00166D67">
              <w:rPr>
                <w:rFonts w:asciiTheme="majorHAnsi" w:hAnsiTheme="majorHAnsi" w:cstheme="majorHAnsi"/>
                <w:sz w:val="17"/>
                <w:szCs w:val="17"/>
              </w:rPr>
              <w:t>Eurosystem</w:t>
            </w:r>
            <w:proofErr w:type="spellEnd"/>
            <w:r w:rsidRPr="00166D67">
              <w:rPr>
                <w:rFonts w:asciiTheme="majorHAnsi" w:hAnsiTheme="majorHAnsi" w:cstheme="majorHAnsi"/>
                <w:sz w:val="17"/>
                <w:szCs w:val="17"/>
              </w:rPr>
              <w:t xml:space="preserve"> and contribute to preserving the smooth functioning of money markets. </w:t>
            </w:r>
          </w:p>
        </w:tc>
      </w:tr>
      <w:tr w:rsidR="00407D0A" w:rsidRPr="00166D67" w14:paraId="07677304" w14:textId="77777777" w:rsidTr="001701F9">
        <w:trPr>
          <w:cantSplit/>
        </w:trPr>
        <w:tc>
          <w:tcPr>
            <w:tcW w:w="1097" w:type="dxa"/>
            <w:shd w:val="clear" w:color="auto" w:fill="auto"/>
          </w:tcPr>
          <w:p w14:paraId="258C0EC6" w14:textId="22075441" w:rsidR="00407D0A" w:rsidRPr="007F1827" w:rsidRDefault="00407D0A" w:rsidP="00407D0A">
            <w:pPr>
              <w:jc w:val="left"/>
              <w:rPr>
                <w:b/>
                <w:sz w:val="17"/>
                <w:szCs w:val="17"/>
              </w:rPr>
            </w:pPr>
            <w:r w:rsidRPr="007F1827">
              <w:rPr>
                <w:rFonts w:asciiTheme="majorHAnsi" w:hAnsiTheme="majorHAnsi" w:cstheme="majorHAnsi"/>
                <w:b/>
                <w:sz w:val="17"/>
                <w:szCs w:val="17"/>
              </w:rPr>
              <w:t>8 May 2020</w:t>
            </w:r>
          </w:p>
        </w:tc>
        <w:tc>
          <w:tcPr>
            <w:tcW w:w="1880" w:type="dxa"/>
            <w:shd w:val="clear" w:color="auto" w:fill="auto"/>
          </w:tcPr>
          <w:p w14:paraId="091F8179" w14:textId="0E37F910" w:rsidR="00407D0A" w:rsidRPr="00166D67" w:rsidRDefault="00A324C3" w:rsidP="00407D0A">
            <w:pPr>
              <w:jc w:val="left"/>
              <w:rPr>
                <w:sz w:val="17"/>
                <w:szCs w:val="17"/>
              </w:rPr>
            </w:pPr>
            <w:hyperlink r:id="rId170" w:history="1">
              <w:r w:rsidR="00407D0A" w:rsidRPr="00166D67">
                <w:rPr>
                  <w:rStyle w:val="Hyperlink"/>
                  <w:rFonts w:asciiTheme="majorHAnsi" w:hAnsiTheme="majorHAnsi" w:cstheme="majorHAnsi"/>
                  <w:color w:val="2CD5C4" w:themeColor="accent1"/>
                  <w:sz w:val="17"/>
                  <w:szCs w:val="17"/>
                  <w:bdr w:val="none" w:sz="0" w:space="0" w:color="auto" w:frame="1"/>
                  <w:shd w:val="clear" w:color="auto" w:fill="FFFFFF"/>
                </w:rPr>
                <w:t>Survey on the Access to Finance of Enterprises: Small businesses report challenging outlook for their access to external financing due to COVID-19</w:t>
              </w:r>
            </w:hyperlink>
            <w:r w:rsidR="00407D0A" w:rsidRPr="00166D67">
              <w:rPr>
                <w:rFonts w:asciiTheme="majorHAnsi" w:hAnsiTheme="majorHAnsi" w:cstheme="majorHAnsi"/>
                <w:sz w:val="17"/>
                <w:szCs w:val="17"/>
              </w:rPr>
              <w:t xml:space="preserve"> </w:t>
            </w:r>
          </w:p>
        </w:tc>
        <w:tc>
          <w:tcPr>
            <w:tcW w:w="1819" w:type="dxa"/>
            <w:shd w:val="clear" w:color="auto" w:fill="auto"/>
          </w:tcPr>
          <w:p w14:paraId="18B6B3A2" w14:textId="77777777" w:rsidR="00407D0A" w:rsidRPr="00166D67" w:rsidRDefault="00407D0A" w:rsidP="00407D0A">
            <w:pPr>
              <w:jc w:val="left"/>
              <w:rPr>
                <w:sz w:val="17"/>
                <w:szCs w:val="17"/>
              </w:rPr>
            </w:pPr>
          </w:p>
        </w:tc>
        <w:tc>
          <w:tcPr>
            <w:tcW w:w="2155" w:type="dxa"/>
            <w:shd w:val="clear" w:color="auto" w:fill="auto"/>
          </w:tcPr>
          <w:p w14:paraId="34161BEE" w14:textId="145A9E2D" w:rsidR="00407D0A" w:rsidRPr="00166D67" w:rsidRDefault="00407D0A" w:rsidP="00407D0A">
            <w:pPr>
              <w:jc w:val="left"/>
              <w:rPr>
                <w:sz w:val="17"/>
                <w:szCs w:val="17"/>
              </w:rPr>
            </w:pPr>
            <w:r w:rsidRPr="00166D67">
              <w:rPr>
                <w:rFonts w:asciiTheme="majorHAnsi" w:hAnsiTheme="majorHAnsi" w:cstheme="majorHAnsi"/>
                <w:sz w:val="17"/>
                <w:szCs w:val="17"/>
              </w:rPr>
              <w:t>SMEs and lenders</w:t>
            </w:r>
          </w:p>
        </w:tc>
        <w:tc>
          <w:tcPr>
            <w:tcW w:w="5523" w:type="dxa"/>
            <w:shd w:val="clear" w:color="auto" w:fill="auto"/>
          </w:tcPr>
          <w:p w14:paraId="4F3A3747" w14:textId="7372E322" w:rsidR="00407D0A" w:rsidRPr="00166D67" w:rsidRDefault="00407D0A" w:rsidP="00407D0A">
            <w:pPr>
              <w:jc w:val="left"/>
              <w:rPr>
                <w:sz w:val="17"/>
                <w:szCs w:val="17"/>
              </w:rPr>
            </w:pPr>
            <w:r w:rsidRPr="00166D67">
              <w:rPr>
                <w:rFonts w:asciiTheme="majorHAnsi" w:hAnsiTheme="majorHAnsi" w:cstheme="majorHAnsi"/>
                <w:sz w:val="17"/>
                <w:szCs w:val="17"/>
              </w:rPr>
              <w:t>The ECB published a survey showing the difficulties encountered by SMEs in accessing finance during COVID-19</w:t>
            </w:r>
          </w:p>
        </w:tc>
      </w:tr>
      <w:tr w:rsidR="00407D0A" w:rsidRPr="00166D67" w14:paraId="4A87063E" w14:textId="77777777" w:rsidTr="001C278A">
        <w:trPr>
          <w:cantSplit/>
        </w:trPr>
        <w:tc>
          <w:tcPr>
            <w:tcW w:w="1097" w:type="dxa"/>
            <w:shd w:val="clear" w:color="auto" w:fill="auto"/>
          </w:tcPr>
          <w:p w14:paraId="2C3650DA" w14:textId="1E65EFDE" w:rsidR="00407D0A" w:rsidRPr="007F1827" w:rsidRDefault="00407D0A" w:rsidP="00407D0A">
            <w:pPr>
              <w:jc w:val="left"/>
              <w:rPr>
                <w:rFonts w:asciiTheme="majorHAnsi" w:hAnsiTheme="majorHAnsi" w:cstheme="majorHAnsi"/>
                <w:b/>
                <w:sz w:val="17"/>
                <w:szCs w:val="17"/>
              </w:rPr>
            </w:pPr>
            <w:r>
              <w:rPr>
                <w:rFonts w:asciiTheme="majorHAnsi" w:hAnsiTheme="majorHAnsi" w:cstheme="majorHAnsi"/>
                <w:b/>
                <w:sz w:val="17"/>
                <w:szCs w:val="17"/>
              </w:rPr>
              <w:t>25 May 2020</w:t>
            </w:r>
          </w:p>
        </w:tc>
        <w:tc>
          <w:tcPr>
            <w:tcW w:w="1880" w:type="dxa"/>
            <w:shd w:val="clear" w:color="auto" w:fill="auto"/>
          </w:tcPr>
          <w:p w14:paraId="3AC8780A" w14:textId="5F980183" w:rsidR="00407D0A" w:rsidRPr="00FB1947" w:rsidRDefault="00A324C3" w:rsidP="00407D0A">
            <w:pPr>
              <w:jc w:val="left"/>
              <w:rPr>
                <w:sz w:val="17"/>
                <w:szCs w:val="17"/>
              </w:rPr>
            </w:pPr>
            <w:hyperlink r:id="rId171" w:history="1">
              <w:r w:rsidR="00407D0A">
                <w:rPr>
                  <w:rStyle w:val="Hyperlink"/>
                  <w:sz w:val="17"/>
                  <w:szCs w:val="17"/>
                </w:rPr>
                <w:t xml:space="preserve">Letter from Andrea </w:t>
              </w:r>
              <w:proofErr w:type="spellStart"/>
              <w:r w:rsidR="00407D0A">
                <w:rPr>
                  <w:rStyle w:val="Hyperlink"/>
                  <w:sz w:val="17"/>
                  <w:szCs w:val="17"/>
                </w:rPr>
                <w:t>Enria</w:t>
              </w:r>
              <w:proofErr w:type="spellEnd"/>
              <w:r w:rsidR="00407D0A">
                <w:rPr>
                  <w:rStyle w:val="Hyperlink"/>
                  <w:sz w:val="17"/>
                  <w:szCs w:val="17"/>
                </w:rPr>
                <w:t xml:space="preserve">, Chair of the Supervisory Board, to Mr </w:t>
              </w:r>
              <w:proofErr w:type="spellStart"/>
              <w:r w:rsidR="00407D0A">
                <w:rPr>
                  <w:rStyle w:val="Hyperlink"/>
                  <w:sz w:val="17"/>
                  <w:szCs w:val="17"/>
                </w:rPr>
                <w:t>Schäffler</w:t>
              </w:r>
              <w:proofErr w:type="spellEnd"/>
              <w:r w:rsidR="00407D0A">
                <w:rPr>
                  <w:rStyle w:val="Hyperlink"/>
                  <w:sz w:val="17"/>
                  <w:szCs w:val="17"/>
                </w:rPr>
                <w:t>, Member of the German Bundestag on possible policy responses to the crisis</w:t>
              </w:r>
            </w:hyperlink>
          </w:p>
        </w:tc>
        <w:tc>
          <w:tcPr>
            <w:tcW w:w="1819" w:type="dxa"/>
            <w:shd w:val="clear" w:color="auto" w:fill="auto"/>
          </w:tcPr>
          <w:p w14:paraId="37B1DDFE" w14:textId="77777777" w:rsidR="00407D0A" w:rsidRPr="00166D67" w:rsidRDefault="00407D0A" w:rsidP="00407D0A">
            <w:pPr>
              <w:jc w:val="left"/>
              <w:rPr>
                <w:sz w:val="17"/>
                <w:szCs w:val="17"/>
              </w:rPr>
            </w:pPr>
          </w:p>
        </w:tc>
        <w:tc>
          <w:tcPr>
            <w:tcW w:w="2155" w:type="dxa"/>
            <w:shd w:val="clear" w:color="auto" w:fill="auto"/>
          </w:tcPr>
          <w:p w14:paraId="3D9E2241" w14:textId="771E74C9"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Credit Institutions and Market Participants</w:t>
            </w:r>
          </w:p>
        </w:tc>
        <w:tc>
          <w:tcPr>
            <w:tcW w:w="5523" w:type="dxa"/>
            <w:shd w:val="clear" w:color="auto" w:fill="auto"/>
          </w:tcPr>
          <w:p w14:paraId="7694EE4D" w14:textId="1A40BB00" w:rsidR="00407D0A" w:rsidRPr="00166D67" w:rsidRDefault="00407D0A" w:rsidP="00407D0A">
            <w:pPr>
              <w:jc w:val="left"/>
              <w:rPr>
                <w:rFonts w:asciiTheme="majorHAnsi" w:hAnsiTheme="majorHAnsi" w:cstheme="majorHAnsi"/>
                <w:sz w:val="17"/>
                <w:szCs w:val="17"/>
              </w:rPr>
            </w:pPr>
            <w:r>
              <w:rPr>
                <w:rFonts w:asciiTheme="majorHAnsi" w:hAnsiTheme="majorHAnsi" w:cstheme="majorHAnsi"/>
                <w:sz w:val="17"/>
                <w:szCs w:val="17"/>
              </w:rPr>
              <w:t xml:space="preserve">On 4 May 2020, Mr </w:t>
            </w:r>
            <w:proofErr w:type="spellStart"/>
            <w:r>
              <w:rPr>
                <w:rFonts w:asciiTheme="majorHAnsi" w:hAnsiTheme="majorHAnsi" w:cstheme="majorHAnsi"/>
                <w:sz w:val="17"/>
                <w:szCs w:val="17"/>
              </w:rPr>
              <w:t>Sch</w:t>
            </w:r>
            <w:r w:rsidRPr="00FB1947">
              <w:rPr>
                <w:rFonts w:asciiTheme="majorHAnsi" w:hAnsiTheme="majorHAnsi" w:cstheme="majorHAnsi"/>
                <w:sz w:val="17"/>
                <w:szCs w:val="17"/>
              </w:rPr>
              <w:t>ä</w:t>
            </w:r>
            <w:r>
              <w:rPr>
                <w:rFonts w:asciiTheme="majorHAnsi" w:hAnsiTheme="majorHAnsi" w:cstheme="majorHAnsi"/>
                <w:sz w:val="17"/>
                <w:szCs w:val="17"/>
              </w:rPr>
              <w:t>ffler</w:t>
            </w:r>
            <w:proofErr w:type="spellEnd"/>
            <w:r>
              <w:rPr>
                <w:rFonts w:asciiTheme="majorHAnsi" w:hAnsiTheme="majorHAnsi" w:cstheme="majorHAnsi"/>
                <w:sz w:val="17"/>
                <w:szCs w:val="17"/>
              </w:rPr>
              <w:t xml:space="preserve"> asked the ECB what its views were relating to the creation of a European asset management company. The ECB confirmed that it does not have a position on this issue. The ECB acknowledged that it could be a useful tool but also noted that it was premature to draw any conclusions in regard to the potential damages arising from the COVID-19 crisis. The ECB also confirmed that it has not submitted plans for the creation of a European asset management company to the European Commission, the German Federal Government or any subordinated federal agencies. </w:t>
            </w:r>
          </w:p>
        </w:tc>
      </w:tr>
      <w:tr w:rsidR="00407D0A" w:rsidRPr="00166D67" w14:paraId="2A020A19" w14:textId="77777777" w:rsidTr="001701F9">
        <w:trPr>
          <w:cantSplit/>
        </w:trPr>
        <w:tc>
          <w:tcPr>
            <w:tcW w:w="1097" w:type="dxa"/>
            <w:shd w:val="clear" w:color="auto" w:fill="auto"/>
          </w:tcPr>
          <w:p w14:paraId="6AB3DA8E" w14:textId="47389A36" w:rsidR="00407D0A" w:rsidRPr="007F1827" w:rsidRDefault="00407D0A" w:rsidP="00407D0A">
            <w:pPr>
              <w:jc w:val="left"/>
              <w:rPr>
                <w:rFonts w:asciiTheme="majorHAnsi" w:hAnsiTheme="majorHAnsi" w:cstheme="majorHAnsi"/>
                <w:b/>
                <w:sz w:val="17"/>
                <w:szCs w:val="17"/>
              </w:rPr>
            </w:pPr>
            <w:r w:rsidRPr="007F1827">
              <w:rPr>
                <w:rFonts w:asciiTheme="majorHAnsi" w:hAnsiTheme="majorHAnsi" w:cstheme="majorHAnsi"/>
                <w:b/>
                <w:sz w:val="17"/>
                <w:szCs w:val="17"/>
              </w:rPr>
              <w:t>26 May 2020</w:t>
            </w:r>
          </w:p>
        </w:tc>
        <w:tc>
          <w:tcPr>
            <w:tcW w:w="1880" w:type="dxa"/>
            <w:shd w:val="clear" w:color="auto" w:fill="auto"/>
          </w:tcPr>
          <w:p w14:paraId="10D46D81" w14:textId="7EFB63FC" w:rsidR="00407D0A" w:rsidRPr="00166D67" w:rsidRDefault="00A324C3" w:rsidP="00407D0A">
            <w:pPr>
              <w:jc w:val="left"/>
              <w:rPr>
                <w:sz w:val="17"/>
                <w:szCs w:val="17"/>
              </w:rPr>
            </w:pPr>
            <w:hyperlink r:id="rId172" w:history="1">
              <w:r w:rsidR="00407D0A" w:rsidRPr="00166D67">
                <w:rPr>
                  <w:rStyle w:val="Hyperlink"/>
                  <w:sz w:val="17"/>
                  <w:szCs w:val="17"/>
                </w:rPr>
                <w:t>Pandemic increases risks to financial stability</w:t>
              </w:r>
            </w:hyperlink>
          </w:p>
        </w:tc>
        <w:tc>
          <w:tcPr>
            <w:tcW w:w="1819" w:type="dxa"/>
            <w:shd w:val="clear" w:color="auto" w:fill="auto"/>
          </w:tcPr>
          <w:p w14:paraId="4079A144" w14:textId="77777777" w:rsidR="00407D0A" w:rsidRPr="00166D67" w:rsidRDefault="00407D0A" w:rsidP="00407D0A">
            <w:pPr>
              <w:jc w:val="left"/>
              <w:rPr>
                <w:sz w:val="17"/>
                <w:szCs w:val="17"/>
              </w:rPr>
            </w:pPr>
          </w:p>
        </w:tc>
        <w:tc>
          <w:tcPr>
            <w:tcW w:w="2155" w:type="dxa"/>
            <w:shd w:val="clear" w:color="auto" w:fill="auto"/>
          </w:tcPr>
          <w:p w14:paraId="152C7869" w14:textId="04635D52"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Credit Institutions and Market Participants</w:t>
            </w:r>
          </w:p>
        </w:tc>
        <w:tc>
          <w:tcPr>
            <w:tcW w:w="5523" w:type="dxa"/>
            <w:shd w:val="clear" w:color="auto" w:fill="auto"/>
          </w:tcPr>
          <w:p w14:paraId="0B8F6D96" w14:textId="77777777"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 xml:space="preserve">According to the May 2020 Financial Stability Review of the ECB, the COVID-19 pandemic has unearthed and increased existing increasing vulnerabilities for euro area financial stability. These extend to the financial sector, corporates and sovereigns. </w:t>
            </w:r>
          </w:p>
          <w:p w14:paraId="66140B4A" w14:textId="6B80D944"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 xml:space="preserve">Policy decisions averted the risk of financial meltdown on the onset of the pandemic. However, they remain essential to preserve financial stability. Banks in the Euro area are now better capitalised, but are likely to face significant losses and pressure on profits. </w:t>
            </w:r>
          </w:p>
        </w:tc>
      </w:tr>
      <w:tr w:rsidR="00407D0A" w:rsidRPr="00166D67" w14:paraId="0C71D7A1" w14:textId="77777777" w:rsidTr="001701F9">
        <w:trPr>
          <w:cantSplit/>
        </w:trPr>
        <w:tc>
          <w:tcPr>
            <w:tcW w:w="1097" w:type="dxa"/>
            <w:shd w:val="clear" w:color="auto" w:fill="auto"/>
          </w:tcPr>
          <w:p w14:paraId="2B4A305C" w14:textId="1BA76393" w:rsidR="00407D0A" w:rsidRPr="007F1827" w:rsidRDefault="00407D0A" w:rsidP="00407D0A">
            <w:pPr>
              <w:jc w:val="left"/>
              <w:rPr>
                <w:rFonts w:asciiTheme="majorHAnsi" w:hAnsiTheme="majorHAnsi" w:cstheme="majorHAnsi"/>
                <w:b/>
                <w:sz w:val="17"/>
                <w:szCs w:val="17"/>
              </w:rPr>
            </w:pPr>
            <w:r w:rsidRPr="007F1827">
              <w:rPr>
                <w:rFonts w:asciiTheme="majorHAnsi" w:hAnsiTheme="majorHAnsi" w:cstheme="majorHAnsi"/>
                <w:b/>
                <w:sz w:val="17"/>
                <w:szCs w:val="17"/>
              </w:rPr>
              <w:t>4 June 2020</w:t>
            </w:r>
          </w:p>
        </w:tc>
        <w:tc>
          <w:tcPr>
            <w:tcW w:w="1880" w:type="dxa"/>
            <w:shd w:val="clear" w:color="auto" w:fill="auto"/>
          </w:tcPr>
          <w:p w14:paraId="582DF3A4" w14:textId="18A2B782" w:rsidR="00407D0A" w:rsidRPr="00166D67" w:rsidRDefault="00A324C3" w:rsidP="00407D0A">
            <w:pPr>
              <w:jc w:val="left"/>
              <w:rPr>
                <w:sz w:val="17"/>
                <w:szCs w:val="17"/>
              </w:rPr>
            </w:pPr>
            <w:hyperlink r:id="rId173" w:history="1">
              <w:r w:rsidR="00407D0A" w:rsidRPr="00166D67">
                <w:rPr>
                  <w:rStyle w:val="Hyperlink"/>
                  <w:sz w:val="17"/>
                  <w:szCs w:val="17"/>
                </w:rPr>
                <w:t>Monetary policy decisions</w:t>
              </w:r>
            </w:hyperlink>
          </w:p>
        </w:tc>
        <w:tc>
          <w:tcPr>
            <w:tcW w:w="1819" w:type="dxa"/>
            <w:shd w:val="clear" w:color="auto" w:fill="auto"/>
          </w:tcPr>
          <w:p w14:paraId="75E8B996" w14:textId="77777777" w:rsidR="00407D0A" w:rsidRPr="00166D67" w:rsidRDefault="00407D0A" w:rsidP="00407D0A">
            <w:pPr>
              <w:jc w:val="left"/>
              <w:rPr>
                <w:sz w:val="17"/>
                <w:szCs w:val="17"/>
              </w:rPr>
            </w:pPr>
          </w:p>
        </w:tc>
        <w:tc>
          <w:tcPr>
            <w:tcW w:w="2155" w:type="dxa"/>
            <w:shd w:val="clear" w:color="auto" w:fill="auto"/>
          </w:tcPr>
          <w:p w14:paraId="7C24959E" w14:textId="49157608"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Credit Institutions</w:t>
            </w:r>
          </w:p>
        </w:tc>
        <w:tc>
          <w:tcPr>
            <w:tcW w:w="5523" w:type="dxa"/>
            <w:shd w:val="clear" w:color="auto" w:fill="auto"/>
          </w:tcPr>
          <w:p w14:paraId="26B609F4" w14:textId="77777777"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 xml:space="preserve">The ECB's Governing Council made a number of monetary policy decisions including: </w:t>
            </w:r>
          </w:p>
          <w:p w14:paraId="6337B270" w14:textId="1E5F17BA" w:rsidR="00407D0A" w:rsidRPr="00166D67" w:rsidRDefault="00407D0A" w:rsidP="00407D0A">
            <w:pPr>
              <w:pStyle w:val="ListParagraph"/>
              <w:numPr>
                <w:ilvl w:val="0"/>
                <w:numId w:val="12"/>
              </w:numPr>
              <w:jc w:val="left"/>
              <w:rPr>
                <w:rFonts w:asciiTheme="majorHAnsi" w:hAnsiTheme="majorHAnsi" w:cstheme="majorHAnsi"/>
                <w:sz w:val="17"/>
                <w:szCs w:val="17"/>
              </w:rPr>
            </w:pPr>
            <w:r w:rsidRPr="00166D67">
              <w:rPr>
                <w:rFonts w:asciiTheme="majorHAnsi" w:hAnsiTheme="majorHAnsi" w:cstheme="majorHAnsi"/>
                <w:sz w:val="17"/>
                <w:szCs w:val="17"/>
              </w:rPr>
              <w:t>Increasing the pandemic emergency purchase programme envelope (PEPP) from €600bn to €1.35tn.</w:t>
            </w:r>
          </w:p>
          <w:p w14:paraId="15B50870" w14:textId="5D116FA0" w:rsidR="00407D0A" w:rsidRPr="00166D67" w:rsidRDefault="00407D0A" w:rsidP="00407D0A">
            <w:pPr>
              <w:pStyle w:val="ListParagraph"/>
              <w:numPr>
                <w:ilvl w:val="0"/>
                <w:numId w:val="12"/>
              </w:numPr>
              <w:jc w:val="left"/>
              <w:rPr>
                <w:rFonts w:asciiTheme="majorHAnsi" w:hAnsiTheme="majorHAnsi" w:cstheme="majorHAnsi"/>
                <w:sz w:val="17"/>
                <w:szCs w:val="17"/>
              </w:rPr>
            </w:pPr>
            <w:r w:rsidRPr="00166D67">
              <w:rPr>
                <w:rFonts w:asciiTheme="majorHAnsi" w:hAnsiTheme="majorHAnsi" w:cstheme="majorHAnsi"/>
                <w:sz w:val="17"/>
                <w:szCs w:val="17"/>
              </w:rPr>
              <w:t>Extending the horizon for net purchases under PEPP to at least the end of June 2021.</w:t>
            </w:r>
          </w:p>
          <w:p w14:paraId="381A0268" w14:textId="77777777" w:rsidR="00407D0A" w:rsidRPr="00166D67" w:rsidRDefault="00407D0A" w:rsidP="00407D0A">
            <w:pPr>
              <w:pStyle w:val="ListParagraph"/>
              <w:numPr>
                <w:ilvl w:val="0"/>
                <w:numId w:val="12"/>
              </w:numPr>
              <w:jc w:val="left"/>
              <w:rPr>
                <w:rFonts w:asciiTheme="majorHAnsi" w:hAnsiTheme="majorHAnsi" w:cstheme="majorHAnsi"/>
                <w:sz w:val="17"/>
                <w:szCs w:val="17"/>
              </w:rPr>
            </w:pPr>
            <w:r w:rsidRPr="00166D67">
              <w:rPr>
                <w:rFonts w:asciiTheme="majorHAnsi" w:hAnsiTheme="majorHAnsi" w:cstheme="majorHAnsi"/>
                <w:sz w:val="17"/>
                <w:szCs w:val="17"/>
              </w:rPr>
              <w:t>Maturing principal payments from securities purchased under the PEPP will be reinvested until at least the end of 2022.</w:t>
            </w:r>
          </w:p>
          <w:p w14:paraId="5451D423" w14:textId="006CFEED" w:rsidR="00407D0A" w:rsidRPr="00166D67" w:rsidRDefault="00407D0A" w:rsidP="00407D0A">
            <w:pPr>
              <w:pStyle w:val="ListParagraph"/>
              <w:numPr>
                <w:ilvl w:val="0"/>
                <w:numId w:val="12"/>
              </w:numPr>
              <w:jc w:val="left"/>
              <w:rPr>
                <w:rFonts w:asciiTheme="majorHAnsi" w:hAnsiTheme="majorHAnsi" w:cstheme="majorHAnsi"/>
                <w:sz w:val="17"/>
                <w:szCs w:val="17"/>
              </w:rPr>
            </w:pPr>
            <w:r w:rsidRPr="00166D67">
              <w:rPr>
                <w:rFonts w:asciiTheme="majorHAnsi" w:hAnsiTheme="majorHAnsi" w:cstheme="majorHAnsi"/>
                <w:sz w:val="17"/>
                <w:szCs w:val="17"/>
              </w:rPr>
              <w:t>Net purchases under the asset purchase programme (APP) will continue at a monthly pace of €20bn, with the purchases under the additional €120bn temporary envelope until the end of 2020.</w:t>
            </w:r>
          </w:p>
          <w:p w14:paraId="2DBE4C45" w14:textId="77777777" w:rsidR="00407D0A" w:rsidRPr="00166D67" w:rsidRDefault="00407D0A" w:rsidP="00407D0A">
            <w:pPr>
              <w:pStyle w:val="ListParagraph"/>
              <w:numPr>
                <w:ilvl w:val="0"/>
                <w:numId w:val="12"/>
              </w:numPr>
              <w:jc w:val="left"/>
              <w:rPr>
                <w:rFonts w:asciiTheme="majorHAnsi" w:hAnsiTheme="majorHAnsi" w:cstheme="majorHAnsi"/>
                <w:sz w:val="17"/>
                <w:szCs w:val="17"/>
              </w:rPr>
            </w:pPr>
            <w:r w:rsidRPr="00166D67">
              <w:rPr>
                <w:rFonts w:asciiTheme="majorHAnsi" w:hAnsiTheme="majorHAnsi" w:cstheme="majorHAnsi"/>
                <w:sz w:val="17"/>
                <w:szCs w:val="17"/>
              </w:rPr>
              <w:t>Reinvestments of the principal payments from maturing securities purchased under the APP will continue in full until past the date when the ECB starts raising interest rates and for as long as is necessary.</w:t>
            </w:r>
          </w:p>
          <w:p w14:paraId="228CBE6B" w14:textId="501EE8F2" w:rsidR="00407D0A" w:rsidRPr="00166D67" w:rsidRDefault="00407D0A" w:rsidP="00407D0A">
            <w:pPr>
              <w:pStyle w:val="ListParagraph"/>
              <w:numPr>
                <w:ilvl w:val="0"/>
                <w:numId w:val="12"/>
              </w:numPr>
              <w:jc w:val="left"/>
              <w:rPr>
                <w:rFonts w:asciiTheme="majorHAnsi" w:hAnsiTheme="majorHAnsi" w:cstheme="majorHAnsi"/>
                <w:sz w:val="17"/>
                <w:szCs w:val="17"/>
              </w:rPr>
            </w:pPr>
            <w:r w:rsidRPr="00166D67">
              <w:rPr>
                <w:rFonts w:asciiTheme="majorHAnsi" w:hAnsiTheme="majorHAnsi" w:cstheme="majorHAnsi"/>
                <w:sz w:val="17"/>
                <w:szCs w:val="17"/>
              </w:rPr>
              <w:t>Interest rate on main refinancing operations and interest rates on marginal lending facility and deposit facility will remain at 0.00%, 0.25% and -0.50% respectively.</w:t>
            </w:r>
          </w:p>
        </w:tc>
      </w:tr>
      <w:tr w:rsidR="00407D0A" w:rsidRPr="00166D67" w14:paraId="248C00E2" w14:textId="77777777" w:rsidTr="001701F9">
        <w:trPr>
          <w:cantSplit/>
        </w:trPr>
        <w:tc>
          <w:tcPr>
            <w:tcW w:w="1097" w:type="dxa"/>
            <w:shd w:val="clear" w:color="auto" w:fill="auto"/>
          </w:tcPr>
          <w:p w14:paraId="59AB7DC7" w14:textId="52EFD76F" w:rsidR="00407D0A" w:rsidRPr="007F1827" w:rsidRDefault="00407D0A" w:rsidP="00407D0A">
            <w:pPr>
              <w:jc w:val="left"/>
              <w:rPr>
                <w:rFonts w:asciiTheme="majorHAnsi" w:hAnsiTheme="majorHAnsi" w:cstheme="majorHAnsi"/>
                <w:b/>
                <w:sz w:val="17"/>
                <w:szCs w:val="17"/>
              </w:rPr>
            </w:pPr>
            <w:r w:rsidRPr="007F1827">
              <w:rPr>
                <w:rFonts w:asciiTheme="majorHAnsi" w:hAnsiTheme="majorHAnsi" w:cstheme="majorHAnsi"/>
                <w:b/>
                <w:sz w:val="17"/>
                <w:szCs w:val="17"/>
              </w:rPr>
              <w:t>5 June 2020</w:t>
            </w:r>
          </w:p>
        </w:tc>
        <w:tc>
          <w:tcPr>
            <w:tcW w:w="1880" w:type="dxa"/>
            <w:shd w:val="clear" w:color="auto" w:fill="auto"/>
          </w:tcPr>
          <w:p w14:paraId="23051C54" w14:textId="465E7E77" w:rsidR="00407D0A" w:rsidRPr="00166D67" w:rsidRDefault="00A324C3" w:rsidP="00407D0A">
            <w:pPr>
              <w:jc w:val="left"/>
              <w:rPr>
                <w:sz w:val="17"/>
                <w:szCs w:val="17"/>
              </w:rPr>
            </w:pPr>
            <w:hyperlink r:id="rId174" w:history="1">
              <w:r w:rsidR="00407D0A" w:rsidRPr="00166D67">
                <w:rPr>
                  <w:rStyle w:val="Hyperlink"/>
                  <w:sz w:val="17"/>
                  <w:szCs w:val="17"/>
                </w:rPr>
                <w:t>Expanding the pandemic emergency purchase programme</w:t>
              </w:r>
            </w:hyperlink>
          </w:p>
        </w:tc>
        <w:tc>
          <w:tcPr>
            <w:tcW w:w="1819" w:type="dxa"/>
            <w:shd w:val="clear" w:color="auto" w:fill="auto"/>
          </w:tcPr>
          <w:p w14:paraId="161C7E9C" w14:textId="77777777" w:rsidR="00407D0A" w:rsidRPr="00166D67" w:rsidRDefault="00407D0A" w:rsidP="00407D0A">
            <w:pPr>
              <w:jc w:val="left"/>
              <w:rPr>
                <w:sz w:val="17"/>
                <w:szCs w:val="17"/>
              </w:rPr>
            </w:pPr>
          </w:p>
        </w:tc>
        <w:tc>
          <w:tcPr>
            <w:tcW w:w="2155" w:type="dxa"/>
            <w:shd w:val="clear" w:color="auto" w:fill="auto"/>
          </w:tcPr>
          <w:p w14:paraId="5E31F412" w14:textId="580E63AE"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Credit Institutions</w:t>
            </w:r>
          </w:p>
        </w:tc>
        <w:tc>
          <w:tcPr>
            <w:tcW w:w="5523" w:type="dxa"/>
            <w:shd w:val="clear" w:color="auto" w:fill="auto"/>
          </w:tcPr>
          <w:p w14:paraId="3F6C99F3" w14:textId="77777777"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 xml:space="preserve">This blog post by ECB Governor Philip Lane discusses the outlook for economic activity and inflation in the Euro area, and explains the Governing council's decision to expand the PEPP, both in respect of COVID-19. Macroeconomic output is expected to decline by 13.0% in Q2 2020, and will only be partly reversed in the second half of the year. The downward revisions would have been worse had there been no fiscal response. </w:t>
            </w:r>
          </w:p>
          <w:p w14:paraId="265D261E" w14:textId="0AA47DBF" w:rsidR="00407D0A" w:rsidRPr="00166D67" w:rsidRDefault="00407D0A" w:rsidP="00407D0A">
            <w:pPr>
              <w:pStyle w:val="BodyALG"/>
              <w:jc w:val="left"/>
              <w:rPr>
                <w:sz w:val="17"/>
                <w:szCs w:val="17"/>
              </w:rPr>
            </w:pPr>
            <w:r w:rsidRPr="00166D67">
              <w:rPr>
                <w:sz w:val="17"/>
                <w:szCs w:val="17"/>
              </w:rPr>
              <w:t xml:space="preserve">Average headline inflation is predicted to be 0.3% in 2020, 0.8% in 2021 and 1.3% in 2022. Core inflation is forecast to reach 0.9% in 2022. </w:t>
            </w:r>
          </w:p>
          <w:p w14:paraId="3D6D48BB" w14:textId="5ADE8F45" w:rsidR="00407D0A" w:rsidRPr="00166D67" w:rsidRDefault="00407D0A" w:rsidP="00407D0A">
            <w:pPr>
              <w:pStyle w:val="BodyALG"/>
              <w:jc w:val="left"/>
              <w:rPr>
                <w:sz w:val="17"/>
                <w:szCs w:val="17"/>
              </w:rPr>
            </w:pPr>
            <w:r w:rsidRPr="00166D67">
              <w:rPr>
                <w:sz w:val="17"/>
                <w:szCs w:val="17"/>
              </w:rPr>
              <w:t>The PEPP was increased to 1) ensure medium-term price stability, and 2) markets have stabilised since the PEPP was announced, but the situation remains fragile. It underlines the need for the ECB to be flexible and exercise a market stabilisation function.</w:t>
            </w:r>
          </w:p>
        </w:tc>
      </w:tr>
      <w:tr w:rsidR="00407D0A" w:rsidRPr="00166D67" w14:paraId="4CFBA853" w14:textId="77777777" w:rsidTr="001C278A">
        <w:trPr>
          <w:cantSplit/>
        </w:trPr>
        <w:tc>
          <w:tcPr>
            <w:tcW w:w="1097" w:type="dxa"/>
            <w:shd w:val="clear" w:color="auto" w:fill="auto"/>
          </w:tcPr>
          <w:p w14:paraId="45947A1D" w14:textId="417BBDAB" w:rsidR="00407D0A" w:rsidRPr="007F1827" w:rsidRDefault="00407D0A" w:rsidP="00407D0A">
            <w:pPr>
              <w:jc w:val="left"/>
              <w:rPr>
                <w:rFonts w:asciiTheme="majorHAnsi" w:hAnsiTheme="majorHAnsi" w:cstheme="majorHAnsi"/>
                <w:b/>
                <w:sz w:val="17"/>
                <w:szCs w:val="17"/>
              </w:rPr>
            </w:pPr>
            <w:r>
              <w:rPr>
                <w:rFonts w:asciiTheme="majorHAnsi" w:hAnsiTheme="majorHAnsi" w:cstheme="majorHAnsi"/>
                <w:b/>
                <w:sz w:val="17"/>
                <w:szCs w:val="17"/>
              </w:rPr>
              <w:t>9 June 2020</w:t>
            </w:r>
          </w:p>
        </w:tc>
        <w:tc>
          <w:tcPr>
            <w:tcW w:w="1880" w:type="dxa"/>
            <w:shd w:val="clear" w:color="auto" w:fill="auto"/>
          </w:tcPr>
          <w:p w14:paraId="6C1D90CF" w14:textId="6F4FD3EB" w:rsidR="00407D0A" w:rsidRDefault="00A324C3" w:rsidP="00407D0A">
            <w:pPr>
              <w:jc w:val="left"/>
            </w:pPr>
            <w:hyperlink r:id="rId175" w:history="1">
              <w:r w:rsidR="00407D0A" w:rsidRPr="00442C49">
                <w:rPr>
                  <w:rStyle w:val="Hyperlink"/>
                  <w:rFonts w:asciiTheme="majorHAnsi" w:hAnsiTheme="majorHAnsi" w:cstheme="majorHAnsi"/>
                  <w:sz w:val="17"/>
                  <w:szCs w:val="17"/>
                </w:rPr>
                <w:t xml:space="preserve">Letter from Andrea </w:t>
              </w:r>
              <w:proofErr w:type="spellStart"/>
              <w:r w:rsidR="00407D0A" w:rsidRPr="00442C49">
                <w:rPr>
                  <w:rStyle w:val="Hyperlink"/>
                  <w:rFonts w:asciiTheme="majorHAnsi" w:hAnsiTheme="majorHAnsi" w:cstheme="majorHAnsi"/>
                  <w:sz w:val="17"/>
                  <w:szCs w:val="17"/>
                </w:rPr>
                <w:t>Enria</w:t>
              </w:r>
              <w:proofErr w:type="spellEnd"/>
              <w:r w:rsidR="00407D0A" w:rsidRPr="00442C49">
                <w:rPr>
                  <w:rStyle w:val="Hyperlink"/>
                  <w:rFonts w:asciiTheme="majorHAnsi" w:hAnsiTheme="majorHAnsi" w:cstheme="majorHAnsi"/>
                  <w:sz w:val="17"/>
                  <w:szCs w:val="17"/>
                </w:rPr>
                <w:t xml:space="preserve">, Chair of the Supervisory Board, to Mr </w:t>
              </w:r>
              <w:proofErr w:type="spellStart"/>
              <w:r w:rsidR="00407D0A" w:rsidRPr="00442C49">
                <w:rPr>
                  <w:rStyle w:val="Hyperlink"/>
                  <w:rFonts w:asciiTheme="majorHAnsi" w:hAnsiTheme="majorHAnsi" w:cstheme="majorHAnsi"/>
                  <w:sz w:val="17"/>
                  <w:szCs w:val="17"/>
                </w:rPr>
                <w:t>Zanni</w:t>
              </w:r>
              <w:proofErr w:type="spellEnd"/>
              <w:r w:rsidR="00407D0A" w:rsidRPr="00442C49">
                <w:rPr>
                  <w:rStyle w:val="Hyperlink"/>
                  <w:rFonts w:asciiTheme="majorHAnsi" w:hAnsiTheme="majorHAnsi" w:cstheme="majorHAnsi"/>
                  <w:sz w:val="17"/>
                  <w:szCs w:val="17"/>
                </w:rPr>
                <w:t>, Ms Donato, Mr Grant and Mr Rinaldi, MEPs, on bank provisioning for non-performing loans</w:t>
              </w:r>
            </w:hyperlink>
          </w:p>
        </w:tc>
        <w:tc>
          <w:tcPr>
            <w:tcW w:w="1819" w:type="dxa"/>
            <w:shd w:val="clear" w:color="auto" w:fill="auto"/>
          </w:tcPr>
          <w:p w14:paraId="45495314" w14:textId="77777777" w:rsidR="00407D0A" w:rsidRPr="00166D67" w:rsidRDefault="00407D0A" w:rsidP="00407D0A">
            <w:pPr>
              <w:jc w:val="left"/>
              <w:rPr>
                <w:sz w:val="17"/>
                <w:szCs w:val="17"/>
              </w:rPr>
            </w:pPr>
          </w:p>
        </w:tc>
        <w:tc>
          <w:tcPr>
            <w:tcW w:w="2155" w:type="dxa"/>
            <w:shd w:val="clear" w:color="auto" w:fill="auto"/>
          </w:tcPr>
          <w:p w14:paraId="2905061A" w14:textId="38D5A6BF"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Credit Institutions</w:t>
            </w:r>
          </w:p>
        </w:tc>
        <w:tc>
          <w:tcPr>
            <w:tcW w:w="5523" w:type="dxa"/>
            <w:shd w:val="clear" w:color="auto" w:fill="auto"/>
          </w:tcPr>
          <w:p w14:paraId="40C7D322" w14:textId="290B4C43" w:rsidR="00407D0A" w:rsidRPr="00166D67" w:rsidRDefault="00407D0A" w:rsidP="00407D0A">
            <w:pPr>
              <w:jc w:val="left"/>
              <w:rPr>
                <w:rFonts w:asciiTheme="majorHAnsi" w:hAnsiTheme="majorHAnsi" w:cstheme="majorHAnsi"/>
                <w:sz w:val="17"/>
                <w:szCs w:val="17"/>
              </w:rPr>
            </w:pPr>
            <w:r w:rsidRPr="00263C38">
              <w:rPr>
                <w:rFonts w:asciiTheme="minorHAnsi" w:hAnsiTheme="minorHAnsi" w:cstheme="minorHAnsi"/>
                <w:sz w:val="17"/>
                <w:szCs w:val="17"/>
              </w:rPr>
              <w:t xml:space="preserve">On 7 May 2020, Mr </w:t>
            </w:r>
            <w:proofErr w:type="spellStart"/>
            <w:r w:rsidRPr="00263C38">
              <w:rPr>
                <w:rFonts w:asciiTheme="minorHAnsi" w:hAnsiTheme="minorHAnsi" w:cstheme="minorHAnsi"/>
                <w:sz w:val="17"/>
                <w:szCs w:val="17"/>
              </w:rPr>
              <w:t>Zanni</w:t>
            </w:r>
            <w:proofErr w:type="spellEnd"/>
            <w:r w:rsidRPr="00263C38">
              <w:rPr>
                <w:rFonts w:asciiTheme="minorHAnsi" w:hAnsiTheme="minorHAnsi" w:cstheme="minorHAnsi"/>
                <w:sz w:val="17"/>
                <w:szCs w:val="17"/>
              </w:rPr>
              <w:t xml:space="preserve">, Ms Donato, Mr Grant and Mr Rinaldi </w:t>
            </w:r>
            <w:r>
              <w:rPr>
                <w:rFonts w:asciiTheme="minorHAnsi" w:hAnsiTheme="minorHAnsi" w:cstheme="minorHAnsi"/>
                <w:sz w:val="17"/>
                <w:szCs w:val="17"/>
              </w:rPr>
              <w:t>asked</w:t>
            </w:r>
            <w:r w:rsidRPr="00263C38">
              <w:rPr>
                <w:rFonts w:asciiTheme="minorHAnsi" w:hAnsiTheme="minorHAnsi" w:cstheme="minorHAnsi"/>
                <w:sz w:val="17"/>
                <w:szCs w:val="17"/>
              </w:rPr>
              <w:t xml:space="preserve"> the ECB about its </w:t>
            </w:r>
            <w:r>
              <w:rPr>
                <w:rFonts w:asciiTheme="minorHAnsi" w:hAnsiTheme="minorHAnsi" w:cstheme="minorHAnsi"/>
                <w:sz w:val="17"/>
                <w:szCs w:val="17"/>
              </w:rPr>
              <w:t xml:space="preserve">thoughts </w:t>
            </w:r>
            <w:r w:rsidRPr="00263C38">
              <w:rPr>
                <w:rFonts w:asciiTheme="minorHAnsi" w:hAnsiTheme="minorHAnsi" w:cstheme="minorHAnsi"/>
                <w:sz w:val="17"/>
                <w:szCs w:val="17"/>
              </w:rPr>
              <w:t>on the financial stability implications of banks’ provisioning policies in the context of the coronavirus (COVID-19) pandemic</w:t>
            </w:r>
            <w:r>
              <w:rPr>
                <w:rFonts w:asciiTheme="minorHAnsi" w:hAnsiTheme="minorHAnsi" w:cstheme="minorHAnsi"/>
                <w:sz w:val="17"/>
                <w:szCs w:val="17"/>
              </w:rPr>
              <w:t>. The ECB noted it had put several mitigating measures in place but acknowledged the difficulties in relying on the international accounting standard IFRS 9. The ECB states that it had asks banks to consider the ECB macroeconomic projections as anchor points for calibrating their models. The ECB encouraged banks to apply the IFRS 9 transitional arrangements under the CRR and to make neutral forecasts that are neither optimistic nor conservative. The ECB concluded by discussing the various measures put in place for non-performing loans and directed the Members to its supervisory expectations on same.</w:t>
            </w:r>
          </w:p>
        </w:tc>
      </w:tr>
      <w:tr w:rsidR="00407D0A" w:rsidRPr="00166D67" w14:paraId="7D9EE687" w14:textId="77777777" w:rsidTr="001C278A">
        <w:trPr>
          <w:cantSplit/>
        </w:trPr>
        <w:tc>
          <w:tcPr>
            <w:tcW w:w="1097" w:type="dxa"/>
            <w:shd w:val="clear" w:color="auto" w:fill="auto"/>
          </w:tcPr>
          <w:p w14:paraId="60FDBD6F" w14:textId="7A4A8E17" w:rsidR="00407D0A" w:rsidRPr="007F1827" w:rsidRDefault="00407D0A" w:rsidP="00407D0A">
            <w:pPr>
              <w:jc w:val="left"/>
              <w:rPr>
                <w:rFonts w:asciiTheme="majorHAnsi" w:hAnsiTheme="majorHAnsi" w:cstheme="majorHAnsi"/>
                <w:b/>
                <w:sz w:val="17"/>
                <w:szCs w:val="17"/>
              </w:rPr>
            </w:pPr>
            <w:r>
              <w:rPr>
                <w:rFonts w:asciiTheme="majorHAnsi" w:hAnsiTheme="majorHAnsi" w:cstheme="majorHAnsi"/>
                <w:b/>
                <w:sz w:val="17"/>
                <w:szCs w:val="17"/>
              </w:rPr>
              <w:t>10 June 2020</w:t>
            </w:r>
          </w:p>
        </w:tc>
        <w:tc>
          <w:tcPr>
            <w:tcW w:w="1880" w:type="dxa"/>
            <w:shd w:val="clear" w:color="auto" w:fill="auto"/>
          </w:tcPr>
          <w:p w14:paraId="01592744" w14:textId="56573776" w:rsidR="00407D0A" w:rsidRPr="000C5F84" w:rsidRDefault="00A324C3" w:rsidP="00407D0A">
            <w:pPr>
              <w:jc w:val="left"/>
              <w:rPr>
                <w:rFonts w:asciiTheme="majorHAnsi" w:hAnsiTheme="majorHAnsi" w:cstheme="majorHAnsi"/>
                <w:sz w:val="17"/>
                <w:szCs w:val="17"/>
              </w:rPr>
            </w:pPr>
            <w:hyperlink r:id="rId176" w:history="1">
              <w:r w:rsidR="00407D0A" w:rsidRPr="000C5F84">
                <w:rPr>
                  <w:rStyle w:val="Hyperlink"/>
                  <w:rFonts w:asciiTheme="majorHAnsi" w:hAnsiTheme="majorHAnsi" w:cstheme="majorHAnsi"/>
                  <w:sz w:val="17"/>
                  <w:szCs w:val="17"/>
                </w:rPr>
                <w:t xml:space="preserve">Letter from Andrea </w:t>
              </w:r>
              <w:proofErr w:type="spellStart"/>
              <w:r w:rsidR="00407D0A" w:rsidRPr="000C5F84">
                <w:rPr>
                  <w:rStyle w:val="Hyperlink"/>
                  <w:rFonts w:asciiTheme="majorHAnsi" w:hAnsiTheme="majorHAnsi" w:cstheme="majorHAnsi"/>
                  <w:sz w:val="17"/>
                  <w:szCs w:val="17"/>
                </w:rPr>
                <w:t>Enria</w:t>
              </w:r>
              <w:proofErr w:type="spellEnd"/>
              <w:r w:rsidR="00407D0A" w:rsidRPr="000C5F84">
                <w:rPr>
                  <w:rStyle w:val="Hyperlink"/>
                  <w:rFonts w:asciiTheme="majorHAnsi" w:hAnsiTheme="majorHAnsi" w:cstheme="majorHAnsi"/>
                  <w:sz w:val="17"/>
                  <w:szCs w:val="17"/>
                </w:rPr>
                <w:t xml:space="preserve">, Chair of the Supervisory Board, to Mr </w:t>
              </w:r>
              <w:proofErr w:type="spellStart"/>
              <w:r w:rsidR="00407D0A" w:rsidRPr="000C5F84">
                <w:rPr>
                  <w:rStyle w:val="Hyperlink"/>
                  <w:rFonts w:asciiTheme="majorHAnsi" w:hAnsiTheme="majorHAnsi" w:cstheme="majorHAnsi"/>
                  <w:sz w:val="17"/>
                  <w:szCs w:val="17"/>
                </w:rPr>
                <w:t>Urtasun</w:t>
              </w:r>
              <w:proofErr w:type="spellEnd"/>
              <w:r w:rsidR="00407D0A" w:rsidRPr="000C5F84">
                <w:rPr>
                  <w:rStyle w:val="Hyperlink"/>
                  <w:rFonts w:asciiTheme="majorHAnsi" w:hAnsiTheme="majorHAnsi" w:cstheme="majorHAnsi"/>
                  <w:sz w:val="17"/>
                  <w:szCs w:val="17"/>
                </w:rPr>
                <w:t>, MEP, on national measures for the banking sector in the COVID-19 crisis</w:t>
              </w:r>
            </w:hyperlink>
          </w:p>
        </w:tc>
        <w:tc>
          <w:tcPr>
            <w:tcW w:w="1819" w:type="dxa"/>
            <w:shd w:val="clear" w:color="auto" w:fill="auto"/>
          </w:tcPr>
          <w:p w14:paraId="54440A4F" w14:textId="77777777" w:rsidR="00407D0A" w:rsidRPr="00166D67" w:rsidRDefault="00407D0A" w:rsidP="00407D0A">
            <w:pPr>
              <w:jc w:val="left"/>
              <w:rPr>
                <w:sz w:val="17"/>
                <w:szCs w:val="17"/>
              </w:rPr>
            </w:pPr>
          </w:p>
        </w:tc>
        <w:tc>
          <w:tcPr>
            <w:tcW w:w="2155" w:type="dxa"/>
            <w:shd w:val="clear" w:color="auto" w:fill="auto"/>
          </w:tcPr>
          <w:p w14:paraId="514C51CA" w14:textId="73AA0A09" w:rsidR="00407D0A" w:rsidRPr="00166D67" w:rsidRDefault="00407D0A" w:rsidP="00407D0A">
            <w:pPr>
              <w:jc w:val="left"/>
              <w:rPr>
                <w:rFonts w:asciiTheme="majorHAnsi" w:hAnsiTheme="majorHAnsi" w:cstheme="majorHAnsi"/>
                <w:sz w:val="17"/>
                <w:szCs w:val="17"/>
              </w:rPr>
            </w:pPr>
            <w:r>
              <w:rPr>
                <w:rFonts w:asciiTheme="majorHAnsi" w:hAnsiTheme="majorHAnsi" w:cstheme="majorHAnsi"/>
                <w:sz w:val="17"/>
                <w:szCs w:val="17"/>
              </w:rPr>
              <w:t>National competent authorities (NCAs)</w:t>
            </w:r>
          </w:p>
        </w:tc>
        <w:tc>
          <w:tcPr>
            <w:tcW w:w="5523" w:type="dxa"/>
            <w:shd w:val="clear" w:color="auto" w:fill="auto"/>
          </w:tcPr>
          <w:p w14:paraId="77EA968F" w14:textId="34188D45" w:rsidR="00407D0A" w:rsidRPr="000C5F84" w:rsidRDefault="00407D0A" w:rsidP="00407D0A">
            <w:pPr>
              <w:jc w:val="left"/>
              <w:rPr>
                <w:rFonts w:asciiTheme="minorHAnsi" w:hAnsiTheme="minorHAnsi" w:cstheme="minorHAnsi"/>
                <w:sz w:val="17"/>
                <w:szCs w:val="17"/>
              </w:rPr>
            </w:pPr>
            <w:r w:rsidRPr="000C5F84">
              <w:rPr>
                <w:rFonts w:asciiTheme="minorHAnsi" w:hAnsiTheme="minorHAnsi" w:cstheme="minorHAnsi"/>
                <w:sz w:val="17"/>
                <w:szCs w:val="17"/>
              </w:rPr>
              <w:t xml:space="preserve">On 7 May 2020, Mr </w:t>
            </w:r>
            <w:proofErr w:type="spellStart"/>
            <w:r w:rsidRPr="000C5F84">
              <w:rPr>
                <w:rFonts w:asciiTheme="minorHAnsi" w:hAnsiTheme="minorHAnsi" w:cstheme="minorHAnsi"/>
                <w:sz w:val="17"/>
                <w:szCs w:val="17"/>
              </w:rPr>
              <w:t>Urtasun</w:t>
            </w:r>
            <w:proofErr w:type="spellEnd"/>
            <w:r w:rsidRPr="000C5F84">
              <w:rPr>
                <w:rFonts w:asciiTheme="minorHAnsi" w:hAnsiTheme="minorHAnsi" w:cstheme="minorHAnsi"/>
                <w:sz w:val="17"/>
                <w:szCs w:val="17"/>
              </w:rPr>
              <w:t xml:space="preserve"> asked the ECB about the implementation of measures adopted by the Spanish government to manage the economic and social impact of the coronavirus, in regard to the deferral of mortgage payments. The ECB noted that it has been collecting and monitoring detailed information </w:t>
            </w:r>
            <w:r>
              <w:rPr>
                <w:rFonts w:asciiTheme="minorHAnsi" w:hAnsiTheme="minorHAnsi" w:cstheme="minorHAnsi"/>
                <w:sz w:val="17"/>
                <w:szCs w:val="17"/>
              </w:rPr>
              <w:t xml:space="preserve">from NCAs </w:t>
            </w:r>
            <w:r w:rsidRPr="000C5F84">
              <w:rPr>
                <w:rFonts w:asciiTheme="minorHAnsi" w:hAnsiTheme="minorHAnsi" w:cstheme="minorHAnsi"/>
                <w:sz w:val="17"/>
                <w:szCs w:val="17"/>
              </w:rPr>
              <w:t xml:space="preserve">on same since the beginning of the outbreak in accordance with EBA guidelines on legislative and non-legislative moratoria. The ECB also responded to Mr </w:t>
            </w:r>
            <w:proofErr w:type="spellStart"/>
            <w:r w:rsidRPr="000C5F84">
              <w:rPr>
                <w:rFonts w:asciiTheme="minorHAnsi" w:hAnsiTheme="minorHAnsi" w:cstheme="minorHAnsi"/>
                <w:sz w:val="17"/>
                <w:szCs w:val="17"/>
              </w:rPr>
              <w:t>Urtasun's</w:t>
            </w:r>
            <w:proofErr w:type="spellEnd"/>
            <w:r w:rsidRPr="000C5F84">
              <w:rPr>
                <w:rFonts w:asciiTheme="minorHAnsi" w:hAnsiTheme="minorHAnsi" w:cstheme="minorHAnsi"/>
                <w:sz w:val="17"/>
                <w:szCs w:val="17"/>
              </w:rPr>
              <w:t xml:space="preserve"> other query regarding the adoption of extraordinary measures noting that the ECB has publicly expressed its support for all such measures and has introduced supervisory flexibility regarding the treatment of non-performing loans. </w:t>
            </w:r>
          </w:p>
        </w:tc>
      </w:tr>
      <w:tr w:rsidR="00407D0A" w:rsidRPr="00166D67" w14:paraId="1C51FFC2" w14:textId="77777777" w:rsidTr="001701F9">
        <w:trPr>
          <w:cantSplit/>
        </w:trPr>
        <w:tc>
          <w:tcPr>
            <w:tcW w:w="1097" w:type="dxa"/>
            <w:shd w:val="clear" w:color="auto" w:fill="auto"/>
          </w:tcPr>
          <w:p w14:paraId="53E7EB0D" w14:textId="44350FFC" w:rsidR="00407D0A" w:rsidRPr="007F1827" w:rsidRDefault="00407D0A" w:rsidP="00407D0A">
            <w:pPr>
              <w:jc w:val="left"/>
              <w:rPr>
                <w:rFonts w:asciiTheme="majorHAnsi" w:hAnsiTheme="majorHAnsi" w:cstheme="majorHAnsi"/>
                <w:b/>
                <w:sz w:val="17"/>
                <w:szCs w:val="17"/>
              </w:rPr>
            </w:pPr>
            <w:r w:rsidRPr="007F1827">
              <w:rPr>
                <w:rFonts w:asciiTheme="majorHAnsi" w:hAnsiTheme="majorHAnsi" w:cstheme="majorHAnsi"/>
                <w:b/>
                <w:sz w:val="17"/>
                <w:szCs w:val="17"/>
              </w:rPr>
              <w:t>17 June 2020</w:t>
            </w:r>
          </w:p>
        </w:tc>
        <w:tc>
          <w:tcPr>
            <w:tcW w:w="1880" w:type="dxa"/>
            <w:shd w:val="clear" w:color="auto" w:fill="auto"/>
          </w:tcPr>
          <w:p w14:paraId="03314531" w14:textId="4EE2F817" w:rsidR="00407D0A" w:rsidRPr="00166D67" w:rsidRDefault="00A324C3" w:rsidP="00407D0A">
            <w:pPr>
              <w:jc w:val="left"/>
              <w:rPr>
                <w:color w:val="2CD5C4" w:themeColor="accent1"/>
                <w:sz w:val="17"/>
                <w:szCs w:val="17"/>
              </w:rPr>
            </w:pPr>
            <w:hyperlink r:id="rId177" w:history="1">
              <w:r w:rsidR="00407D0A" w:rsidRPr="00166D67">
                <w:rPr>
                  <w:rStyle w:val="Hyperlink"/>
                  <w:color w:val="2CD5C4" w:themeColor="accent1"/>
                  <w:sz w:val="17"/>
                  <w:szCs w:val="17"/>
                </w:rPr>
                <w:t>The COVID-19 pandemic and access to finance for small and medium-sized enterprises: evidence from survey data</w:t>
              </w:r>
            </w:hyperlink>
          </w:p>
        </w:tc>
        <w:tc>
          <w:tcPr>
            <w:tcW w:w="1819" w:type="dxa"/>
            <w:shd w:val="clear" w:color="auto" w:fill="auto"/>
          </w:tcPr>
          <w:p w14:paraId="143818C2" w14:textId="77777777" w:rsidR="00407D0A" w:rsidRPr="00166D67" w:rsidRDefault="00407D0A" w:rsidP="00407D0A">
            <w:pPr>
              <w:jc w:val="left"/>
              <w:rPr>
                <w:sz w:val="17"/>
                <w:szCs w:val="17"/>
              </w:rPr>
            </w:pPr>
          </w:p>
        </w:tc>
        <w:tc>
          <w:tcPr>
            <w:tcW w:w="2155" w:type="dxa"/>
            <w:shd w:val="clear" w:color="auto" w:fill="auto"/>
          </w:tcPr>
          <w:p w14:paraId="471A878C" w14:textId="350E3273" w:rsidR="00407D0A" w:rsidRPr="00166D67" w:rsidRDefault="00407D0A" w:rsidP="00407D0A">
            <w:pPr>
              <w:jc w:val="left"/>
              <w:rPr>
                <w:rFonts w:asciiTheme="majorHAnsi" w:hAnsiTheme="majorHAnsi" w:cstheme="majorHAnsi"/>
                <w:sz w:val="17"/>
                <w:szCs w:val="17"/>
              </w:rPr>
            </w:pPr>
            <w:r w:rsidRPr="00166D67">
              <w:rPr>
                <w:sz w:val="17"/>
                <w:szCs w:val="17"/>
              </w:rPr>
              <w:t>All Regulated Financial Services Providers and SMEs</w:t>
            </w:r>
          </w:p>
        </w:tc>
        <w:tc>
          <w:tcPr>
            <w:tcW w:w="5523" w:type="dxa"/>
            <w:shd w:val="clear" w:color="auto" w:fill="auto"/>
          </w:tcPr>
          <w:p w14:paraId="76B9F389" w14:textId="4BDBE852"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 xml:space="preserve">This research on access to finance for SMEs was published as part of the ECB's fourth Economic Bulletin of 2020. Key points include: </w:t>
            </w:r>
          </w:p>
          <w:p w14:paraId="7A84197A" w14:textId="0C0ADB09" w:rsidR="00407D0A" w:rsidRPr="00166D67" w:rsidRDefault="00407D0A" w:rsidP="00407D0A">
            <w:pPr>
              <w:pStyle w:val="ListParagraph"/>
              <w:numPr>
                <w:ilvl w:val="0"/>
                <w:numId w:val="14"/>
              </w:numPr>
              <w:jc w:val="left"/>
              <w:rPr>
                <w:rFonts w:asciiTheme="majorHAnsi" w:hAnsiTheme="majorHAnsi" w:cstheme="majorHAnsi"/>
                <w:sz w:val="17"/>
                <w:szCs w:val="17"/>
              </w:rPr>
            </w:pPr>
            <w:r w:rsidRPr="00166D67">
              <w:rPr>
                <w:rFonts w:asciiTheme="majorHAnsi" w:hAnsiTheme="majorHAnsi" w:cstheme="majorHAnsi"/>
                <w:sz w:val="17"/>
                <w:szCs w:val="17"/>
              </w:rPr>
              <w:t>The latest Survey on the Access to Finance of Enterprises documents a deterioration in the business activity of small and medium-sized enterprises (SMEs) in the reporting period from October 2019 to March 2020;</w:t>
            </w:r>
          </w:p>
          <w:p w14:paraId="07EC6013" w14:textId="77777777" w:rsidR="00407D0A" w:rsidRPr="00166D67" w:rsidRDefault="00407D0A" w:rsidP="00407D0A">
            <w:pPr>
              <w:pStyle w:val="ListParagraph"/>
              <w:numPr>
                <w:ilvl w:val="0"/>
                <w:numId w:val="14"/>
              </w:numPr>
              <w:jc w:val="left"/>
              <w:rPr>
                <w:rFonts w:asciiTheme="majorHAnsi" w:hAnsiTheme="majorHAnsi" w:cstheme="majorHAnsi"/>
                <w:sz w:val="17"/>
                <w:szCs w:val="17"/>
              </w:rPr>
            </w:pPr>
            <w:r w:rsidRPr="00166D67">
              <w:rPr>
                <w:rFonts w:asciiTheme="majorHAnsi" w:hAnsiTheme="majorHAnsi" w:cstheme="majorHAnsi"/>
                <w:sz w:val="17"/>
                <w:szCs w:val="17"/>
              </w:rPr>
              <w:t>Looking backwards, euro area SMEs signalled a decline in turnover for the first time since the beginning of 2014;</w:t>
            </w:r>
          </w:p>
          <w:p w14:paraId="5D2913C2" w14:textId="138D642D" w:rsidR="00407D0A" w:rsidRPr="00166D67" w:rsidRDefault="00407D0A" w:rsidP="00407D0A">
            <w:pPr>
              <w:pStyle w:val="ListParagraph"/>
              <w:numPr>
                <w:ilvl w:val="0"/>
                <w:numId w:val="14"/>
              </w:numPr>
              <w:jc w:val="left"/>
              <w:rPr>
                <w:rFonts w:asciiTheme="majorHAnsi" w:hAnsiTheme="majorHAnsi" w:cstheme="majorHAnsi"/>
                <w:sz w:val="17"/>
                <w:szCs w:val="17"/>
              </w:rPr>
            </w:pPr>
            <w:r w:rsidRPr="00166D67">
              <w:rPr>
                <w:rFonts w:asciiTheme="majorHAnsi" w:hAnsiTheme="majorHAnsi" w:cstheme="majorHAnsi"/>
                <w:sz w:val="17"/>
                <w:szCs w:val="17"/>
              </w:rPr>
              <w:t>The deterioration in the expected access to finance appeared to level off after the PEPP announcement, at least with regard to bank loans and credit lines;</w:t>
            </w:r>
          </w:p>
          <w:p w14:paraId="5E3C322F" w14:textId="1D16A9A4" w:rsidR="00407D0A" w:rsidRPr="00166D67" w:rsidRDefault="00407D0A" w:rsidP="00407D0A">
            <w:pPr>
              <w:pStyle w:val="ListParagraph"/>
              <w:numPr>
                <w:ilvl w:val="0"/>
                <w:numId w:val="14"/>
              </w:numPr>
              <w:jc w:val="left"/>
              <w:rPr>
                <w:rFonts w:asciiTheme="majorHAnsi" w:hAnsiTheme="majorHAnsi" w:cstheme="majorHAnsi"/>
                <w:sz w:val="17"/>
                <w:szCs w:val="17"/>
              </w:rPr>
            </w:pPr>
            <w:r w:rsidRPr="00166D67">
              <w:rPr>
                <w:rFonts w:asciiTheme="majorHAnsi" w:hAnsiTheme="majorHAnsi" w:cstheme="majorHAnsi"/>
                <w:sz w:val="17"/>
                <w:szCs w:val="17"/>
              </w:rPr>
              <w:t>On internal financing sources, SMEs reported a substantial net decline in the expected availability of funds (-17%, from 12%); and</w:t>
            </w:r>
          </w:p>
          <w:p w14:paraId="5FCED1C3" w14:textId="4C7BC360" w:rsidR="00407D0A" w:rsidRPr="00166D67" w:rsidRDefault="00407D0A" w:rsidP="00407D0A">
            <w:pPr>
              <w:pStyle w:val="ListParagraph"/>
              <w:numPr>
                <w:ilvl w:val="0"/>
                <w:numId w:val="14"/>
              </w:numPr>
              <w:jc w:val="left"/>
              <w:rPr>
                <w:rFonts w:asciiTheme="majorHAnsi" w:hAnsiTheme="majorHAnsi" w:cstheme="majorHAnsi"/>
                <w:sz w:val="17"/>
                <w:szCs w:val="17"/>
              </w:rPr>
            </w:pPr>
            <w:r w:rsidRPr="00166D67">
              <w:rPr>
                <w:rFonts w:asciiTheme="majorHAnsi" w:hAnsiTheme="majorHAnsi" w:cstheme="majorHAnsi"/>
                <w:sz w:val="17"/>
                <w:szCs w:val="17"/>
              </w:rPr>
              <w:t>Expected availability of external financing sources also registered a deterioration, although less than that of internal financing.</w:t>
            </w:r>
          </w:p>
        </w:tc>
      </w:tr>
      <w:tr w:rsidR="00407D0A" w:rsidRPr="00166D67" w14:paraId="053042B1" w14:textId="77777777" w:rsidTr="001701F9">
        <w:trPr>
          <w:cantSplit/>
        </w:trPr>
        <w:tc>
          <w:tcPr>
            <w:tcW w:w="1097" w:type="dxa"/>
            <w:shd w:val="clear" w:color="auto" w:fill="auto"/>
          </w:tcPr>
          <w:p w14:paraId="080D2065" w14:textId="2FD9CBB0" w:rsidR="00407D0A" w:rsidRPr="007F1827" w:rsidRDefault="00407D0A" w:rsidP="00407D0A">
            <w:pPr>
              <w:jc w:val="left"/>
              <w:rPr>
                <w:rFonts w:asciiTheme="majorHAnsi" w:hAnsiTheme="majorHAnsi" w:cstheme="majorHAnsi"/>
                <w:b/>
                <w:sz w:val="17"/>
                <w:szCs w:val="17"/>
              </w:rPr>
            </w:pPr>
            <w:r w:rsidRPr="007F1827">
              <w:rPr>
                <w:rFonts w:asciiTheme="majorHAnsi" w:hAnsiTheme="majorHAnsi" w:cstheme="majorHAnsi"/>
                <w:b/>
                <w:sz w:val="17"/>
                <w:szCs w:val="17"/>
              </w:rPr>
              <w:t>17 June 2020</w:t>
            </w:r>
          </w:p>
        </w:tc>
        <w:tc>
          <w:tcPr>
            <w:tcW w:w="1880" w:type="dxa"/>
            <w:shd w:val="clear" w:color="auto" w:fill="auto"/>
          </w:tcPr>
          <w:p w14:paraId="7AA08599" w14:textId="466EB759" w:rsidR="00407D0A" w:rsidRPr="00166D67" w:rsidRDefault="00A324C3" w:rsidP="00407D0A">
            <w:pPr>
              <w:jc w:val="left"/>
              <w:rPr>
                <w:color w:val="2CD5C4" w:themeColor="accent1"/>
                <w:sz w:val="17"/>
                <w:szCs w:val="17"/>
              </w:rPr>
            </w:pPr>
            <w:hyperlink r:id="rId178" w:history="1">
              <w:r w:rsidR="00407D0A" w:rsidRPr="00166D67">
                <w:rPr>
                  <w:rStyle w:val="Hyperlink"/>
                  <w:color w:val="2CD5C4" w:themeColor="accent1"/>
                  <w:sz w:val="17"/>
                  <w:szCs w:val="17"/>
                </w:rPr>
                <w:t>Short-time work schemes and their effects on wages and disposable income</w:t>
              </w:r>
            </w:hyperlink>
          </w:p>
        </w:tc>
        <w:tc>
          <w:tcPr>
            <w:tcW w:w="1819" w:type="dxa"/>
            <w:shd w:val="clear" w:color="auto" w:fill="auto"/>
          </w:tcPr>
          <w:p w14:paraId="7B3246A6" w14:textId="77777777" w:rsidR="00407D0A" w:rsidRPr="00166D67" w:rsidRDefault="00407D0A" w:rsidP="00407D0A">
            <w:pPr>
              <w:jc w:val="left"/>
              <w:rPr>
                <w:sz w:val="17"/>
                <w:szCs w:val="17"/>
              </w:rPr>
            </w:pPr>
          </w:p>
        </w:tc>
        <w:tc>
          <w:tcPr>
            <w:tcW w:w="2155" w:type="dxa"/>
            <w:shd w:val="clear" w:color="auto" w:fill="auto"/>
          </w:tcPr>
          <w:p w14:paraId="52CD491D" w14:textId="5D4241F1" w:rsidR="00407D0A" w:rsidRPr="00166D67" w:rsidRDefault="00407D0A" w:rsidP="00407D0A">
            <w:pPr>
              <w:jc w:val="left"/>
              <w:rPr>
                <w:rFonts w:asciiTheme="majorHAnsi" w:hAnsiTheme="majorHAnsi" w:cstheme="majorHAnsi"/>
                <w:sz w:val="17"/>
                <w:szCs w:val="17"/>
              </w:rPr>
            </w:pPr>
            <w:r w:rsidRPr="00166D67">
              <w:rPr>
                <w:sz w:val="17"/>
                <w:szCs w:val="17"/>
              </w:rPr>
              <w:t>All Regulated Financial Services Providers and Consumers</w:t>
            </w:r>
          </w:p>
        </w:tc>
        <w:tc>
          <w:tcPr>
            <w:tcW w:w="5523" w:type="dxa"/>
            <w:shd w:val="clear" w:color="auto" w:fill="auto"/>
          </w:tcPr>
          <w:p w14:paraId="2494C551" w14:textId="77777777"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 xml:space="preserve">This research was published as part of the ECB's fourth Economic Bulletin of 2020. Key points include: </w:t>
            </w:r>
          </w:p>
          <w:p w14:paraId="6133A345" w14:textId="73CFE8AB" w:rsidR="00407D0A" w:rsidRPr="00166D67" w:rsidRDefault="00407D0A" w:rsidP="00407D0A">
            <w:pPr>
              <w:pStyle w:val="ListParagraph"/>
              <w:numPr>
                <w:ilvl w:val="0"/>
                <w:numId w:val="15"/>
              </w:numPr>
              <w:jc w:val="left"/>
              <w:rPr>
                <w:rFonts w:asciiTheme="majorHAnsi" w:hAnsiTheme="majorHAnsi" w:cstheme="majorHAnsi"/>
                <w:sz w:val="17"/>
                <w:szCs w:val="17"/>
              </w:rPr>
            </w:pPr>
            <w:r w:rsidRPr="00166D67">
              <w:rPr>
                <w:rFonts w:asciiTheme="majorHAnsi" w:hAnsiTheme="majorHAnsi" w:cstheme="majorHAnsi"/>
                <w:sz w:val="17"/>
                <w:szCs w:val="17"/>
              </w:rPr>
              <w:t>Short-time work and temporary lay-offs are key instruments for cushioning the economic impact of the COVID-19 pandemic;</w:t>
            </w:r>
          </w:p>
          <w:p w14:paraId="6DBE8982" w14:textId="3C5A67E4" w:rsidR="00407D0A" w:rsidRPr="00166D67" w:rsidRDefault="00407D0A" w:rsidP="00407D0A">
            <w:pPr>
              <w:pStyle w:val="ListParagraph"/>
              <w:numPr>
                <w:ilvl w:val="0"/>
                <w:numId w:val="15"/>
              </w:numPr>
              <w:jc w:val="left"/>
              <w:rPr>
                <w:rFonts w:asciiTheme="majorHAnsi" w:hAnsiTheme="majorHAnsi" w:cstheme="majorHAnsi"/>
                <w:sz w:val="17"/>
                <w:szCs w:val="17"/>
              </w:rPr>
            </w:pPr>
            <w:r w:rsidRPr="00166D67">
              <w:rPr>
                <w:rFonts w:asciiTheme="majorHAnsi" w:hAnsiTheme="majorHAnsi" w:cstheme="majorHAnsi"/>
                <w:sz w:val="17"/>
                <w:szCs w:val="17"/>
              </w:rPr>
              <w:t>The effects of short-time work schemes on income losses vary according to the reduction in working time;</w:t>
            </w:r>
          </w:p>
          <w:p w14:paraId="2796FB03" w14:textId="763B6A6E" w:rsidR="00407D0A" w:rsidRPr="00166D67" w:rsidRDefault="00407D0A" w:rsidP="00407D0A">
            <w:pPr>
              <w:pStyle w:val="ListParagraph"/>
              <w:numPr>
                <w:ilvl w:val="0"/>
                <w:numId w:val="15"/>
              </w:numPr>
              <w:jc w:val="left"/>
              <w:rPr>
                <w:rFonts w:asciiTheme="majorHAnsi" w:hAnsiTheme="majorHAnsi" w:cstheme="majorHAnsi"/>
                <w:sz w:val="17"/>
                <w:szCs w:val="17"/>
              </w:rPr>
            </w:pPr>
            <w:r w:rsidRPr="00166D67">
              <w:rPr>
                <w:rFonts w:asciiTheme="majorHAnsi" w:hAnsiTheme="majorHAnsi" w:cstheme="majorHAnsi"/>
                <w:sz w:val="17"/>
                <w:szCs w:val="17"/>
              </w:rPr>
              <w:t>In all five of the largest euro area countries it is likely that a substantial share of employees is on short-time work or temporary lay-off;</w:t>
            </w:r>
          </w:p>
          <w:p w14:paraId="004E34BA" w14:textId="06438D60" w:rsidR="00407D0A" w:rsidRPr="00166D67" w:rsidRDefault="00407D0A" w:rsidP="00407D0A">
            <w:pPr>
              <w:pStyle w:val="ListParagraph"/>
              <w:numPr>
                <w:ilvl w:val="0"/>
                <w:numId w:val="15"/>
              </w:numPr>
              <w:jc w:val="left"/>
              <w:rPr>
                <w:rFonts w:asciiTheme="majorHAnsi" w:hAnsiTheme="majorHAnsi" w:cstheme="majorHAnsi"/>
                <w:sz w:val="17"/>
                <w:szCs w:val="17"/>
              </w:rPr>
            </w:pPr>
            <w:r w:rsidRPr="00166D67">
              <w:rPr>
                <w:rFonts w:asciiTheme="majorHAnsi" w:hAnsiTheme="majorHAnsi" w:cstheme="majorHAnsi"/>
                <w:sz w:val="17"/>
                <w:szCs w:val="17"/>
              </w:rPr>
              <w:t>The precise impact of short-time work on households’ disposable income is as yet uncertain; and</w:t>
            </w:r>
          </w:p>
          <w:p w14:paraId="287AAC49" w14:textId="4F45E230" w:rsidR="00407D0A" w:rsidRPr="00166D67" w:rsidRDefault="00407D0A" w:rsidP="00407D0A">
            <w:pPr>
              <w:pStyle w:val="ListParagraph"/>
              <w:numPr>
                <w:ilvl w:val="0"/>
                <w:numId w:val="15"/>
              </w:numPr>
              <w:jc w:val="left"/>
              <w:rPr>
                <w:rFonts w:asciiTheme="majorHAnsi" w:hAnsiTheme="majorHAnsi" w:cstheme="majorHAnsi"/>
                <w:sz w:val="17"/>
                <w:szCs w:val="17"/>
              </w:rPr>
            </w:pPr>
            <w:r w:rsidRPr="00166D67">
              <w:rPr>
                <w:rFonts w:asciiTheme="majorHAnsi" w:hAnsiTheme="majorHAnsi" w:cstheme="majorHAnsi"/>
                <w:sz w:val="17"/>
                <w:szCs w:val="17"/>
              </w:rPr>
              <w:t>As short-time work schemes help to preserve jobs during the crisis, they also mitigate the rise in income uncertainty.</w:t>
            </w:r>
          </w:p>
        </w:tc>
      </w:tr>
      <w:tr w:rsidR="00407D0A" w:rsidRPr="00166D67" w14:paraId="1DD7421B" w14:textId="77777777" w:rsidTr="001701F9">
        <w:trPr>
          <w:cantSplit/>
        </w:trPr>
        <w:tc>
          <w:tcPr>
            <w:tcW w:w="1097" w:type="dxa"/>
            <w:shd w:val="clear" w:color="auto" w:fill="auto"/>
          </w:tcPr>
          <w:p w14:paraId="3587DFAA" w14:textId="4A9BB34D" w:rsidR="00407D0A" w:rsidRPr="007F1827" w:rsidRDefault="00407D0A" w:rsidP="00407D0A">
            <w:pPr>
              <w:jc w:val="left"/>
              <w:rPr>
                <w:rFonts w:asciiTheme="majorHAnsi" w:hAnsiTheme="majorHAnsi" w:cstheme="majorHAnsi"/>
                <w:b/>
                <w:sz w:val="17"/>
                <w:szCs w:val="17"/>
              </w:rPr>
            </w:pPr>
            <w:r w:rsidRPr="007F1827">
              <w:rPr>
                <w:rFonts w:asciiTheme="majorHAnsi" w:hAnsiTheme="majorHAnsi" w:cstheme="majorHAnsi"/>
                <w:b/>
                <w:sz w:val="17"/>
                <w:szCs w:val="17"/>
              </w:rPr>
              <w:t>17 June 2020</w:t>
            </w:r>
          </w:p>
        </w:tc>
        <w:tc>
          <w:tcPr>
            <w:tcW w:w="1880" w:type="dxa"/>
            <w:shd w:val="clear" w:color="auto" w:fill="auto"/>
          </w:tcPr>
          <w:p w14:paraId="389C3DB9" w14:textId="64AE22A2" w:rsidR="00407D0A" w:rsidRPr="00166D67" w:rsidRDefault="00A324C3" w:rsidP="00407D0A">
            <w:pPr>
              <w:jc w:val="left"/>
              <w:rPr>
                <w:color w:val="2CD5C4" w:themeColor="accent1"/>
                <w:sz w:val="17"/>
                <w:szCs w:val="17"/>
              </w:rPr>
            </w:pPr>
            <w:hyperlink r:id="rId179" w:history="1">
              <w:r w:rsidR="00407D0A" w:rsidRPr="00166D67">
                <w:rPr>
                  <w:rStyle w:val="Hyperlink"/>
                  <w:color w:val="2CD5C4" w:themeColor="accent1"/>
                  <w:sz w:val="17"/>
                  <w:szCs w:val="17"/>
                </w:rPr>
                <w:t>Impact of the COVID-19 lockdown on trade in travel services</w:t>
              </w:r>
            </w:hyperlink>
          </w:p>
        </w:tc>
        <w:tc>
          <w:tcPr>
            <w:tcW w:w="1819" w:type="dxa"/>
            <w:shd w:val="clear" w:color="auto" w:fill="auto"/>
          </w:tcPr>
          <w:p w14:paraId="5CF8A830" w14:textId="77777777" w:rsidR="00407D0A" w:rsidRPr="00166D67" w:rsidRDefault="00407D0A" w:rsidP="00407D0A">
            <w:pPr>
              <w:jc w:val="left"/>
              <w:rPr>
                <w:sz w:val="17"/>
                <w:szCs w:val="17"/>
              </w:rPr>
            </w:pPr>
          </w:p>
        </w:tc>
        <w:tc>
          <w:tcPr>
            <w:tcW w:w="2155" w:type="dxa"/>
            <w:shd w:val="clear" w:color="auto" w:fill="auto"/>
          </w:tcPr>
          <w:p w14:paraId="4A592C4D" w14:textId="61E519C2" w:rsidR="00407D0A" w:rsidRPr="00166D67" w:rsidRDefault="00407D0A" w:rsidP="00407D0A">
            <w:pPr>
              <w:jc w:val="left"/>
              <w:rPr>
                <w:rFonts w:asciiTheme="majorHAnsi" w:hAnsiTheme="majorHAnsi" w:cstheme="majorHAnsi"/>
                <w:sz w:val="17"/>
                <w:szCs w:val="17"/>
              </w:rPr>
            </w:pPr>
            <w:r w:rsidRPr="00166D67">
              <w:rPr>
                <w:sz w:val="17"/>
                <w:szCs w:val="17"/>
              </w:rPr>
              <w:t>All Regulated Financial Services Providers and Consumers</w:t>
            </w:r>
          </w:p>
        </w:tc>
        <w:tc>
          <w:tcPr>
            <w:tcW w:w="5523" w:type="dxa"/>
            <w:shd w:val="clear" w:color="auto" w:fill="auto"/>
          </w:tcPr>
          <w:p w14:paraId="4FFFFBD7" w14:textId="4CFDBD3F"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 xml:space="preserve">This research on the travel industry was published as part of the ECB's fourth Economic Bulletin of 2020. Key points include: </w:t>
            </w:r>
          </w:p>
          <w:p w14:paraId="53F0435C" w14:textId="0AC3130A" w:rsidR="00407D0A" w:rsidRPr="00166D67" w:rsidRDefault="00407D0A" w:rsidP="00407D0A">
            <w:pPr>
              <w:pStyle w:val="ListParagraph"/>
              <w:numPr>
                <w:ilvl w:val="0"/>
                <w:numId w:val="16"/>
              </w:numPr>
              <w:jc w:val="left"/>
              <w:rPr>
                <w:rFonts w:asciiTheme="majorHAnsi" w:hAnsiTheme="majorHAnsi" w:cstheme="majorHAnsi"/>
                <w:sz w:val="17"/>
                <w:szCs w:val="17"/>
              </w:rPr>
            </w:pPr>
            <w:r w:rsidRPr="00166D67">
              <w:rPr>
                <w:rFonts w:asciiTheme="majorHAnsi" w:hAnsiTheme="majorHAnsi" w:cstheme="majorHAnsi"/>
                <w:sz w:val="17"/>
                <w:szCs w:val="17"/>
              </w:rPr>
              <w:t>Net trade in travel contributed €42 billion to the euro area surplus of €68 billion in the trade balance for services in 2019;</w:t>
            </w:r>
          </w:p>
          <w:p w14:paraId="70304427" w14:textId="78BE2F76" w:rsidR="00407D0A" w:rsidRPr="00166D67" w:rsidRDefault="00407D0A" w:rsidP="00407D0A">
            <w:pPr>
              <w:pStyle w:val="ListParagraph"/>
              <w:numPr>
                <w:ilvl w:val="0"/>
                <w:numId w:val="16"/>
              </w:numPr>
              <w:jc w:val="left"/>
              <w:rPr>
                <w:rFonts w:asciiTheme="majorHAnsi" w:hAnsiTheme="majorHAnsi" w:cstheme="majorHAnsi"/>
                <w:sz w:val="17"/>
                <w:szCs w:val="17"/>
              </w:rPr>
            </w:pPr>
            <w:r w:rsidRPr="00166D67">
              <w:rPr>
                <w:rFonts w:asciiTheme="majorHAnsi" w:hAnsiTheme="majorHAnsi" w:cstheme="majorHAnsi"/>
                <w:sz w:val="17"/>
                <w:szCs w:val="17"/>
              </w:rPr>
              <w:t>The euro area is exposed to trade in heavily affected service sectors, in which it recorded a surplus in 2019;</w:t>
            </w:r>
          </w:p>
          <w:p w14:paraId="1CC70D6A" w14:textId="3755C7CF" w:rsidR="00407D0A" w:rsidRPr="00166D67" w:rsidRDefault="00407D0A" w:rsidP="00407D0A">
            <w:pPr>
              <w:pStyle w:val="ListParagraph"/>
              <w:numPr>
                <w:ilvl w:val="0"/>
                <w:numId w:val="16"/>
              </w:numPr>
              <w:jc w:val="left"/>
              <w:rPr>
                <w:rFonts w:asciiTheme="majorHAnsi" w:hAnsiTheme="majorHAnsi" w:cstheme="majorHAnsi"/>
                <w:sz w:val="17"/>
                <w:szCs w:val="17"/>
              </w:rPr>
            </w:pPr>
            <w:r w:rsidRPr="00166D67">
              <w:rPr>
                <w:rFonts w:asciiTheme="majorHAnsi" w:hAnsiTheme="majorHAnsi" w:cstheme="majorHAnsi"/>
                <w:sz w:val="17"/>
                <w:szCs w:val="17"/>
              </w:rPr>
              <w:t>The collapse in flight capacity across regions is unprecedented in the history of aviation;</w:t>
            </w:r>
          </w:p>
          <w:p w14:paraId="17647C6A" w14:textId="296804C4" w:rsidR="00407D0A" w:rsidRPr="00166D67" w:rsidRDefault="00407D0A" w:rsidP="00407D0A">
            <w:pPr>
              <w:pStyle w:val="ListParagraph"/>
              <w:numPr>
                <w:ilvl w:val="0"/>
                <w:numId w:val="16"/>
              </w:numPr>
              <w:jc w:val="left"/>
              <w:rPr>
                <w:rFonts w:asciiTheme="majorHAnsi" w:hAnsiTheme="majorHAnsi" w:cstheme="majorHAnsi"/>
                <w:sz w:val="17"/>
                <w:szCs w:val="17"/>
              </w:rPr>
            </w:pPr>
            <w:r w:rsidRPr="00166D67">
              <w:rPr>
                <w:rFonts w:asciiTheme="majorHAnsi" w:hAnsiTheme="majorHAnsi" w:cstheme="majorHAnsi"/>
                <w:sz w:val="17"/>
                <w:szCs w:val="17"/>
              </w:rPr>
              <w:t>The euro area countries more exposed to the impact of the pandemic in terms of net exports of travel services are estimated to be Cyprus, Malta, Greece and Portugal; and</w:t>
            </w:r>
          </w:p>
          <w:p w14:paraId="5A057145" w14:textId="71904635" w:rsidR="00407D0A" w:rsidRPr="00166D67" w:rsidRDefault="00407D0A" w:rsidP="00407D0A">
            <w:pPr>
              <w:pStyle w:val="ListParagraph"/>
              <w:numPr>
                <w:ilvl w:val="0"/>
                <w:numId w:val="16"/>
              </w:numPr>
              <w:jc w:val="left"/>
              <w:rPr>
                <w:rFonts w:asciiTheme="majorHAnsi" w:hAnsiTheme="majorHAnsi" w:cstheme="majorHAnsi"/>
                <w:sz w:val="17"/>
                <w:szCs w:val="17"/>
              </w:rPr>
            </w:pPr>
            <w:r w:rsidRPr="00166D67">
              <w:rPr>
                <w:rFonts w:asciiTheme="majorHAnsi" w:hAnsiTheme="majorHAnsi" w:cstheme="majorHAnsi"/>
                <w:sz w:val="17"/>
                <w:szCs w:val="17"/>
              </w:rPr>
              <w:t>In countries which depend on travel and tourism, the COVID-19 pandemic is having a severe and lasting impact on the overall economy.</w:t>
            </w:r>
          </w:p>
        </w:tc>
      </w:tr>
      <w:tr w:rsidR="00407D0A" w:rsidRPr="00166D67" w14:paraId="387D6DDE" w14:textId="77777777" w:rsidTr="001701F9">
        <w:trPr>
          <w:cantSplit/>
        </w:trPr>
        <w:tc>
          <w:tcPr>
            <w:tcW w:w="1097" w:type="dxa"/>
            <w:shd w:val="clear" w:color="auto" w:fill="auto"/>
          </w:tcPr>
          <w:p w14:paraId="6E369CB3" w14:textId="4C64C1A7" w:rsidR="00407D0A" w:rsidRPr="007F1827" w:rsidRDefault="00407D0A" w:rsidP="00407D0A">
            <w:pPr>
              <w:jc w:val="left"/>
              <w:rPr>
                <w:rFonts w:asciiTheme="majorHAnsi" w:hAnsiTheme="majorHAnsi" w:cstheme="majorHAnsi"/>
                <w:b/>
                <w:sz w:val="17"/>
                <w:szCs w:val="17"/>
              </w:rPr>
            </w:pPr>
            <w:r w:rsidRPr="007F1827">
              <w:rPr>
                <w:rFonts w:asciiTheme="majorHAnsi" w:hAnsiTheme="majorHAnsi" w:cstheme="majorHAnsi"/>
                <w:b/>
                <w:sz w:val="17"/>
                <w:szCs w:val="17"/>
              </w:rPr>
              <w:t>19 June 2020</w:t>
            </w:r>
          </w:p>
        </w:tc>
        <w:tc>
          <w:tcPr>
            <w:tcW w:w="1880" w:type="dxa"/>
            <w:shd w:val="clear" w:color="auto" w:fill="auto"/>
          </w:tcPr>
          <w:p w14:paraId="40266CDF" w14:textId="4B2F4140" w:rsidR="00407D0A" w:rsidRPr="00166D67" w:rsidRDefault="00A324C3" w:rsidP="00407D0A">
            <w:pPr>
              <w:tabs>
                <w:tab w:val="left" w:pos="1755"/>
              </w:tabs>
              <w:jc w:val="left"/>
              <w:rPr>
                <w:color w:val="2CD5C4" w:themeColor="accent1"/>
                <w:sz w:val="17"/>
                <w:szCs w:val="17"/>
              </w:rPr>
            </w:pPr>
            <w:hyperlink r:id="rId180" w:history="1">
              <w:r w:rsidR="00407D0A" w:rsidRPr="00166D67">
                <w:rPr>
                  <w:rStyle w:val="Hyperlink"/>
                  <w:color w:val="2CD5C4" w:themeColor="accent1"/>
                  <w:sz w:val="17"/>
                  <w:szCs w:val="17"/>
                </w:rPr>
                <w:t>The Global Weakness Index – reading the economy’s vital signs during the COVID-19 crisis</w:t>
              </w:r>
              <w:r w:rsidR="00407D0A" w:rsidRPr="00166D67">
                <w:rPr>
                  <w:rStyle w:val="Hyperlink"/>
                  <w:color w:val="2CD5C4" w:themeColor="accent1"/>
                  <w:sz w:val="17"/>
                  <w:szCs w:val="17"/>
                </w:rPr>
                <w:tab/>
              </w:r>
            </w:hyperlink>
          </w:p>
        </w:tc>
        <w:tc>
          <w:tcPr>
            <w:tcW w:w="1819" w:type="dxa"/>
            <w:shd w:val="clear" w:color="auto" w:fill="auto"/>
          </w:tcPr>
          <w:p w14:paraId="1D2B8BF1" w14:textId="77777777" w:rsidR="00407D0A" w:rsidRPr="00166D67" w:rsidRDefault="00407D0A" w:rsidP="00407D0A">
            <w:pPr>
              <w:jc w:val="left"/>
              <w:rPr>
                <w:sz w:val="17"/>
                <w:szCs w:val="17"/>
              </w:rPr>
            </w:pPr>
          </w:p>
        </w:tc>
        <w:tc>
          <w:tcPr>
            <w:tcW w:w="2155" w:type="dxa"/>
            <w:shd w:val="clear" w:color="auto" w:fill="auto"/>
          </w:tcPr>
          <w:p w14:paraId="2AA469BB" w14:textId="5C2F7563" w:rsidR="00407D0A" w:rsidRPr="00166D67" w:rsidRDefault="00407D0A" w:rsidP="00407D0A">
            <w:pPr>
              <w:jc w:val="left"/>
              <w:rPr>
                <w:rFonts w:asciiTheme="majorHAnsi" w:hAnsiTheme="majorHAnsi" w:cstheme="majorHAnsi"/>
                <w:sz w:val="17"/>
                <w:szCs w:val="17"/>
              </w:rPr>
            </w:pPr>
            <w:r w:rsidRPr="00166D67">
              <w:rPr>
                <w:sz w:val="17"/>
                <w:szCs w:val="17"/>
              </w:rPr>
              <w:t>All Regulated Financial Services Providers and Consumers</w:t>
            </w:r>
          </w:p>
        </w:tc>
        <w:tc>
          <w:tcPr>
            <w:tcW w:w="5523" w:type="dxa"/>
            <w:shd w:val="clear" w:color="auto" w:fill="auto"/>
          </w:tcPr>
          <w:p w14:paraId="0078E1DC" w14:textId="0BA85D04" w:rsidR="00407D0A" w:rsidRPr="00166D67" w:rsidRDefault="00407D0A" w:rsidP="00407D0A">
            <w:pPr>
              <w:tabs>
                <w:tab w:val="left" w:pos="2505"/>
              </w:tabs>
              <w:jc w:val="left"/>
              <w:rPr>
                <w:rFonts w:asciiTheme="majorHAnsi" w:hAnsiTheme="majorHAnsi" w:cstheme="majorHAnsi"/>
                <w:sz w:val="17"/>
                <w:szCs w:val="17"/>
              </w:rPr>
            </w:pPr>
            <w:r w:rsidRPr="00166D67">
              <w:rPr>
                <w:rFonts w:asciiTheme="majorHAnsi" w:hAnsiTheme="majorHAnsi" w:cstheme="majorHAnsi"/>
                <w:sz w:val="17"/>
                <w:szCs w:val="17"/>
              </w:rPr>
              <w:t>This Research Bulletin is the 72</w:t>
            </w:r>
            <w:r w:rsidRPr="00166D67">
              <w:rPr>
                <w:rFonts w:asciiTheme="majorHAnsi" w:hAnsiTheme="majorHAnsi" w:cstheme="majorHAnsi"/>
                <w:sz w:val="17"/>
                <w:szCs w:val="17"/>
                <w:vertAlign w:val="superscript"/>
              </w:rPr>
              <w:t>nd</w:t>
            </w:r>
            <w:r w:rsidRPr="00166D67">
              <w:rPr>
                <w:rFonts w:asciiTheme="majorHAnsi" w:hAnsiTheme="majorHAnsi" w:cstheme="majorHAnsi"/>
                <w:sz w:val="17"/>
                <w:szCs w:val="17"/>
              </w:rPr>
              <w:t xml:space="preserve"> of 2020 and examines the Global Weakness Index (</w:t>
            </w:r>
            <w:r w:rsidRPr="00166D67">
              <w:rPr>
                <w:rFonts w:asciiTheme="majorHAnsi" w:hAnsiTheme="majorHAnsi" w:cstheme="majorHAnsi"/>
                <w:b/>
                <w:sz w:val="17"/>
                <w:szCs w:val="17"/>
              </w:rPr>
              <w:t>GWI</w:t>
            </w:r>
            <w:r w:rsidRPr="00166D67">
              <w:rPr>
                <w:rFonts w:asciiTheme="majorHAnsi" w:hAnsiTheme="majorHAnsi" w:cstheme="majorHAnsi"/>
                <w:sz w:val="17"/>
                <w:szCs w:val="17"/>
              </w:rPr>
              <w:t>) in light of COVID-19. The GWI increased sharply on 2 March 2020 and much faster than during the 2008 financial crisis. It remains at a record high in June 2020. The article continue to explain how the GWI is calculated, and notes the key measures and indicators used.</w:t>
            </w:r>
          </w:p>
        </w:tc>
      </w:tr>
      <w:tr w:rsidR="00407D0A" w:rsidRPr="00166D67" w14:paraId="027D56D0" w14:textId="77777777" w:rsidTr="001701F9">
        <w:trPr>
          <w:cantSplit/>
        </w:trPr>
        <w:tc>
          <w:tcPr>
            <w:tcW w:w="1097" w:type="dxa"/>
            <w:shd w:val="clear" w:color="auto" w:fill="auto"/>
          </w:tcPr>
          <w:p w14:paraId="1925D73A" w14:textId="13E77D9D" w:rsidR="00407D0A" w:rsidRPr="007F1827" w:rsidRDefault="00407D0A" w:rsidP="00407D0A">
            <w:pPr>
              <w:jc w:val="left"/>
              <w:rPr>
                <w:rFonts w:asciiTheme="majorHAnsi" w:hAnsiTheme="majorHAnsi" w:cstheme="majorHAnsi"/>
                <w:b/>
                <w:sz w:val="17"/>
                <w:szCs w:val="17"/>
              </w:rPr>
            </w:pPr>
            <w:r w:rsidRPr="007F1827">
              <w:rPr>
                <w:rFonts w:asciiTheme="majorHAnsi" w:hAnsiTheme="majorHAnsi" w:cstheme="majorHAnsi"/>
                <w:b/>
                <w:sz w:val="17"/>
                <w:szCs w:val="17"/>
              </w:rPr>
              <w:t>19 June 2020</w:t>
            </w:r>
          </w:p>
        </w:tc>
        <w:tc>
          <w:tcPr>
            <w:tcW w:w="1880" w:type="dxa"/>
            <w:shd w:val="clear" w:color="auto" w:fill="auto"/>
          </w:tcPr>
          <w:p w14:paraId="5BBE89A9" w14:textId="14094076" w:rsidR="00407D0A" w:rsidRPr="00166D67" w:rsidRDefault="00A324C3" w:rsidP="00407D0A">
            <w:pPr>
              <w:jc w:val="left"/>
              <w:rPr>
                <w:color w:val="2CD5C4" w:themeColor="accent1"/>
                <w:sz w:val="17"/>
                <w:szCs w:val="17"/>
              </w:rPr>
            </w:pPr>
            <w:hyperlink r:id="rId181" w:history="1">
              <w:r w:rsidR="00407D0A" w:rsidRPr="00166D67">
                <w:rPr>
                  <w:rStyle w:val="Hyperlink"/>
                  <w:color w:val="2CD5C4" w:themeColor="accent1"/>
                  <w:sz w:val="17"/>
                  <w:szCs w:val="17"/>
                </w:rPr>
                <w:t>US  dollar liquidity-providing operations from 1 July 2020</w:t>
              </w:r>
            </w:hyperlink>
          </w:p>
        </w:tc>
        <w:tc>
          <w:tcPr>
            <w:tcW w:w="1819" w:type="dxa"/>
            <w:shd w:val="clear" w:color="auto" w:fill="auto"/>
          </w:tcPr>
          <w:p w14:paraId="37B3FE13" w14:textId="77777777" w:rsidR="00407D0A" w:rsidRPr="00166D67" w:rsidRDefault="00407D0A" w:rsidP="00407D0A">
            <w:pPr>
              <w:jc w:val="left"/>
              <w:rPr>
                <w:sz w:val="17"/>
                <w:szCs w:val="17"/>
              </w:rPr>
            </w:pPr>
          </w:p>
        </w:tc>
        <w:tc>
          <w:tcPr>
            <w:tcW w:w="2155" w:type="dxa"/>
            <w:shd w:val="clear" w:color="auto" w:fill="auto"/>
          </w:tcPr>
          <w:p w14:paraId="0F26E50A" w14:textId="020D8C09"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Financial Market Participants</w:t>
            </w:r>
          </w:p>
        </w:tc>
        <w:tc>
          <w:tcPr>
            <w:tcW w:w="5523" w:type="dxa"/>
            <w:shd w:val="clear" w:color="auto" w:fill="auto"/>
          </w:tcPr>
          <w:p w14:paraId="622D64B5" w14:textId="34452F6E"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The ECB and other major central banks announced the decision to reduce frequency of 7-day US dollar operations from daily to three times per week. Operations with 84-day maturity will continue to be offered on a daily basis. The move comes in light of improvements in US dollar funding conditions and low demand at 7-day maturity US dollar liquidity-providing operations. The change is effective from 1 July 2020.</w:t>
            </w:r>
          </w:p>
        </w:tc>
      </w:tr>
      <w:tr w:rsidR="00407D0A" w:rsidRPr="00166D67" w14:paraId="79DF2C14" w14:textId="77777777" w:rsidTr="001701F9">
        <w:trPr>
          <w:cantSplit/>
        </w:trPr>
        <w:tc>
          <w:tcPr>
            <w:tcW w:w="1097" w:type="dxa"/>
            <w:shd w:val="clear" w:color="auto" w:fill="auto"/>
          </w:tcPr>
          <w:p w14:paraId="3BCF2151" w14:textId="4635425D" w:rsidR="00407D0A" w:rsidRPr="007F1827" w:rsidRDefault="00407D0A" w:rsidP="00407D0A">
            <w:pPr>
              <w:jc w:val="left"/>
              <w:rPr>
                <w:rFonts w:asciiTheme="majorHAnsi" w:hAnsiTheme="majorHAnsi" w:cstheme="majorHAnsi"/>
                <w:b/>
                <w:sz w:val="17"/>
                <w:szCs w:val="17"/>
              </w:rPr>
            </w:pPr>
            <w:r w:rsidRPr="007F1827">
              <w:rPr>
                <w:rFonts w:asciiTheme="majorHAnsi" w:hAnsiTheme="majorHAnsi" w:cstheme="majorHAnsi"/>
                <w:b/>
                <w:sz w:val="17"/>
                <w:szCs w:val="17"/>
              </w:rPr>
              <w:t>25 June 2020</w:t>
            </w:r>
          </w:p>
        </w:tc>
        <w:tc>
          <w:tcPr>
            <w:tcW w:w="1880" w:type="dxa"/>
            <w:shd w:val="clear" w:color="auto" w:fill="auto"/>
          </w:tcPr>
          <w:p w14:paraId="143DE92F" w14:textId="23643619" w:rsidR="00407D0A" w:rsidRPr="00166D67" w:rsidRDefault="00A324C3" w:rsidP="00407D0A">
            <w:pPr>
              <w:jc w:val="left"/>
              <w:rPr>
                <w:color w:val="2CD5C4" w:themeColor="accent1"/>
                <w:sz w:val="17"/>
                <w:szCs w:val="17"/>
              </w:rPr>
            </w:pPr>
            <w:hyperlink r:id="rId182" w:history="1">
              <w:r w:rsidR="00407D0A" w:rsidRPr="00166D67">
                <w:rPr>
                  <w:rStyle w:val="Hyperlink"/>
                  <w:color w:val="2CD5C4" w:themeColor="accent1"/>
                  <w:sz w:val="17"/>
                  <w:szCs w:val="17"/>
                </w:rPr>
                <w:t xml:space="preserve">New </w:t>
              </w:r>
              <w:proofErr w:type="spellStart"/>
              <w:r w:rsidR="00407D0A" w:rsidRPr="00166D67">
                <w:rPr>
                  <w:rStyle w:val="Hyperlink"/>
                  <w:color w:val="2CD5C4" w:themeColor="accent1"/>
                  <w:sz w:val="17"/>
                  <w:szCs w:val="17"/>
                </w:rPr>
                <w:t>Eurosystem</w:t>
              </w:r>
              <w:proofErr w:type="spellEnd"/>
              <w:r w:rsidR="00407D0A" w:rsidRPr="00166D67">
                <w:rPr>
                  <w:rStyle w:val="Hyperlink"/>
                  <w:color w:val="2CD5C4" w:themeColor="accent1"/>
                  <w:sz w:val="17"/>
                  <w:szCs w:val="17"/>
                </w:rPr>
                <w:t xml:space="preserve"> repo facility to provide euro liquidity to non-euro area central banks</w:t>
              </w:r>
            </w:hyperlink>
            <w:r w:rsidR="00407D0A" w:rsidRPr="00166D67">
              <w:rPr>
                <w:color w:val="2CD5C4" w:themeColor="accent1"/>
                <w:sz w:val="17"/>
                <w:szCs w:val="17"/>
              </w:rPr>
              <w:tab/>
            </w:r>
          </w:p>
        </w:tc>
        <w:tc>
          <w:tcPr>
            <w:tcW w:w="1819" w:type="dxa"/>
            <w:shd w:val="clear" w:color="auto" w:fill="auto"/>
          </w:tcPr>
          <w:p w14:paraId="262771DD" w14:textId="77777777" w:rsidR="00407D0A" w:rsidRPr="00166D67" w:rsidRDefault="00407D0A" w:rsidP="00407D0A">
            <w:pPr>
              <w:jc w:val="left"/>
              <w:rPr>
                <w:sz w:val="17"/>
                <w:szCs w:val="17"/>
              </w:rPr>
            </w:pPr>
          </w:p>
        </w:tc>
        <w:tc>
          <w:tcPr>
            <w:tcW w:w="2155" w:type="dxa"/>
            <w:shd w:val="clear" w:color="auto" w:fill="auto"/>
          </w:tcPr>
          <w:p w14:paraId="5247F131" w14:textId="25794442"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Central banks outside the euro area</w:t>
            </w:r>
          </w:p>
        </w:tc>
        <w:tc>
          <w:tcPr>
            <w:tcW w:w="5523" w:type="dxa"/>
            <w:shd w:val="clear" w:color="auto" w:fill="auto"/>
          </w:tcPr>
          <w:p w14:paraId="2CFCD0B3" w14:textId="58B51F97"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On 25 June 2020, the ECB announced its intention to set up a new backstop facility, the "</w:t>
            </w:r>
            <w:proofErr w:type="spellStart"/>
            <w:r w:rsidRPr="00166D67">
              <w:rPr>
                <w:rFonts w:asciiTheme="majorHAnsi" w:hAnsiTheme="majorHAnsi" w:cstheme="majorHAnsi"/>
                <w:sz w:val="17"/>
                <w:szCs w:val="17"/>
              </w:rPr>
              <w:t>Eurosystem</w:t>
            </w:r>
            <w:proofErr w:type="spellEnd"/>
            <w:r w:rsidRPr="00166D67">
              <w:rPr>
                <w:rFonts w:asciiTheme="majorHAnsi" w:hAnsiTheme="majorHAnsi" w:cstheme="majorHAnsi"/>
                <w:sz w:val="17"/>
                <w:szCs w:val="17"/>
              </w:rPr>
              <w:t xml:space="preserve"> repo facility for central banks" (</w:t>
            </w:r>
            <w:r w:rsidRPr="00166D67">
              <w:rPr>
                <w:rFonts w:asciiTheme="majorHAnsi" w:hAnsiTheme="majorHAnsi" w:cstheme="majorHAnsi"/>
                <w:b/>
                <w:sz w:val="17"/>
                <w:szCs w:val="17"/>
              </w:rPr>
              <w:t>EUREP</w:t>
            </w:r>
            <w:r w:rsidRPr="00166D67">
              <w:rPr>
                <w:rFonts w:asciiTheme="majorHAnsi" w:hAnsiTheme="majorHAnsi" w:cstheme="majorHAnsi"/>
                <w:sz w:val="17"/>
                <w:szCs w:val="17"/>
              </w:rPr>
              <w:t>). EUREP will provide cautionary euro repo lines to central banks outside the euro area, addressing possible liquidity needs in case of market dysfunction arising from COVID-19. The ECB released a set of FAQs on the same day as the announcement to cover any queries parties may have about EUREP.</w:t>
            </w:r>
          </w:p>
        </w:tc>
      </w:tr>
      <w:tr w:rsidR="00407D0A" w:rsidRPr="00166D67" w14:paraId="7ADF06DD" w14:textId="77777777" w:rsidTr="001701F9">
        <w:trPr>
          <w:cantSplit/>
        </w:trPr>
        <w:tc>
          <w:tcPr>
            <w:tcW w:w="1097" w:type="dxa"/>
            <w:shd w:val="clear" w:color="auto" w:fill="auto"/>
          </w:tcPr>
          <w:p w14:paraId="7ABDC5CC" w14:textId="4AE29353" w:rsidR="00407D0A" w:rsidRPr="007F1827" w:rsidRDefault="00407D0A" w:rsidP="00407D0A">
            <w:pPr>
              <w:jc w:val="left"/>
              <w:rPr>
                <w:rFonts w:asciiTheme="majorHAnsi" w:hAnsiTheme="majorHAnsi" w:cstheme="majorHAnsi"/>
                <w:b/>
                <w:sz w:val="17"/>
                <w:szCs w:val="17"/>
              </w:rPr>
            </w:pPr>
            <w:r w:rsidRPr="007F1827">
              <w:rPr>
                <w:rFonts w:asciiTheme="majorHAnsi" w:hAnsiTheme="majorHAnsi" w:cstheme="majorHAnsi"/>
                <w:b/>
                <w:sz w:val="17"/>
                <w:szCs w:val="17"/>
              </w:rPr>
              <w:t>29 June 2020</w:t>
            </w:r>
          </w:p>
        </w:tc>
        <w:tc>
          <w:tcPr>
            <w:tcW w:w="1880" w:type="dxa"/>
            <w:shd w:val="clear" w:color="auto" w:fill="auto"/>
          </w:tcPr>
          <w:p w14:paraId="5D5A12C0" w14:textId="3005AED1" w:rsidR="00407D0A" w:rsidRPr="00166D67" w:rsidRDefault="00A324C3" w:rsidP="00407D0A">
            <w:pPr>
              <w:jc w:val="left"/>
              <w:rPr>
                <w:color w:val="2CD5C4" w:themeColor="accent1"/>
                <w:sz w:val="17"/>
                <w:szCs w:val="17"/>
              </w:rPr>
            </w:pPr>
            <w:hyperlink r:id="rId183" w:history="1">
              <w:r w:rsidR="00407D0A" w:rsidRPr="00166D67">
                <w:rPr>
                  <w:rStyle w:val="Hyperlink"/>
                  <w:color w:val="2CD5C4" w:themeColor="accent1"/>
                  <w:sz w:val="17"/>
                  <w:szCs w:val="17"/>
                </w:rPr>
                <w:t>ECB Working Paper: A Primer on the Macroeconomic effects of COVID-19</w:t>
              </w:r>
            </w:hyperlink>
          </w:p>
        </w:tc>
        <w:tc>
          <w:tcPr>
            <w:tcW w:w="1819" w:type="dxa"/>
            <w:shd w:val="clear" w:color="auto" w:fill="auto"/>
          </w:tcPr>
          <w:p w14:paraId="638E4277" w14:textId="77777777" w:rsidR="00407D0A" w:rsidRPr="00166D67" w:rsidRDefault="00407D0A" w:rsidP="00407D0A">
            <w:pPr>
              <w:jc w:val="left"/>
              <w:rPr>
                <w:sz w:val="17"/>
                <w:szCs w:val="17"/>
              </w:rPr>
            </w:pPr>
          </w:p>
        </w:tc>
        <w:tc>
          <w:tcPr>
            <w:tcW w:w="2155" w:type="dxa"/>
            <w:shd w:val="clear" w:color="auto" w:fill="auto"/>
          </w:tcPr>
          <w:p w14:paraId="6398AC97" w14:textId="035A553C" w:rsidR="00407D0A" w:rsidRPr="00166D67" w:rsidRDefault="00407D0A" w:rsidP="00407D0A">
            <w:pPr>
              <w:jc w:val="left"/>
              <w:rPr>
                <w:rFonts w:asciiTheme="majorHAnsi" w:hAnsiTheme="majorHAnsi" w:cstheme="majorHAnsi"/>
                <w:sz w:val="17"/>
                <w:szCs w:val="17"/>
              </w:rPr>
            </w:pPr>
            <w:r w:rsidRPr="00166D67">
              <w:rPr>
                <w:sz w:val="17"/>
                <w:szCs w:val="17"/>
              </w:rPr>
              <w:t>All Regulated Financial Services Providers and Consumers</w:t>
            </w:r>
          </w:p>
        </w:tc>
        <w:tc>
          <w:tcPr>
            <w:tcW w:w="5523" w:type="dxa"/>
            <w:shd w:val="clear" w:color="auto" w:fill="auto"/>
          </w:tcPr>
          <w:p w14:paraId="73220321" w14:textId="61842DD5"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 xml:space="preserve">This paper by the ECB examines the macroeconomic consequences of the pandemic and examines adapting the central bank modelling apparatus to reflect to current economic situation. </w:t>
            </w:r>
          </w:p>
        </w:tc>
      </w:tr>
      <w:tr w:rsidR="00407D0A" w:rsidRPr="00166D67" w14:paraId="471D9D2A" w14:textId="77777777" w:rsidTr="001701F9">
        <w:trPr>
          <w:cantSplit/>
        </w:trPr>
        <w:tc>
          <w:tcPr>
            <w:tcW w:w="1097" w:type="dxa"/>
            <w:shd w:val="clear" w:color="auto" w:fill="auto"/>
          </w:tcPr>
          <w:p w14:paraId="10BE9CE9" w14:textId="3297B8F0" w:rsidR="00407D0A" w:rsidRPr="007F1827" w:rsidRDefault="00407D0A" w:rsidP="00407D0A">
            <w:pPr>
              <w:jc w:val="left"/>
              <w:rPr>
                <w:rFonts w:asciiTheme="majorHAnsi" w:hAnsiTheme="majorHAnsi" w:cstheme="majorHAnsi"/>
                <w:b/>
                <w:sz w:val="17"/>
                <w:szCs w:val="17"/>
              </w:rPr>
            </w:pPr>
            <w:r w:rsidRPr="007F1827">
              <w:rPr>
                <w:b/>
                <w:sz w:val="17"/>
                <w:szCs w:val="17"/>
              </w:rPr>
              <w:t>16 July 2020</w:t>
            </w:r>
          </w:p>
        </w:tc>
        <w:tc>
          <w:tcPr>
            <w:tcW w:w="1880" w:type="dxa"/>
            <w:shd w:val="clear" w:color="auto" w:fill="auto"/>
          </w:tcPr>
          <w:p w14:paraId="7B9651E9" w14:textId="019EA80E" w:rsidR="00407D0A" w:rsidRPr="00166D67" w:rsidRDefault="00A324C3" w:rsidP="00407D0A">
            <w:pPr>
              <w:jc w:val="left"/>
              <w:rPr>
                <w:color w:val="2CD5C4" w:themeColor="accent1"/>
                <w:sz w:val="17"/>
                <w:szCs w:val="17"/>
              </w:rPr>
            </w:pPr>
            <w:hyperlink r:id="rId184" w:history="1">
              <w:r w:rsidR="00407D0A" w:rsidRPr="00166D67">
                <w:rPr>
                  <w:rStyle w:val="Hyperlink"/>
                  <w:sz w:val="17"/>
                  <w:szCs w:val="17"/>
                </w:rPr>
                <w:t>Monetary Policy Decisions</w:t>
              </w:r>
            </w:hyperlink>
          </w:p>
        </w:tc>
        <w:tc>
          <w:tcPr>
            <w:tcW w:w="1819" w:type="dxa"/>
            <w:shd w:val="clear" w:color="auto" w:fill="auto"/>
          </w:tcPr>
          <w:p w14:paraId="50D14B7C" w14:textId="77777777" w:rsidR="00407D0A" w:rsidRPr="00166D67" w:rsidRDefault="00407D0A" w:rsidP="00407D0A">
            <w:pPr>
              <w:jc w:val="left"/>
              <w:rPr>
                <w:sz w:val="17"/>
                <w:szCs w:val="17"/>
              </w:rPr>
            </w:pPr>
          </w:p>
        </w:tc>
        <w:tc>
          <w:tcPr>
            <w:tcW w:w="2155" w:type="dxa"/>
            <w:shd w:val="clear" w:color="auto" w:fill="auto"/>
          </w:tcPr>
          <w:p w14:paraId="0849A6FF" w14:textId="3EA1E4E5" w:rsidR="00407D0A" w:rsidRPr="00395F7D" w:rsidRDefault="00407D0A" w:rsidP="00407D0A">
            <w:pPr>
              <w:jc w:val="left"/>
              <w:rPr>
                <w:sz w:val="17"/>
                <w:szCs w:val="17"/>
              </w:rPr>
            </w:pPr>
            <w:r w:rsidRPr="00395F7D">
              <w:rPr>
                <w:sz w:val="17"/>
                <w:szCs w:val="17"/>
              </w:rPr>
              <w:t xml:space="preserve">Credit Institutions </w:t>
            </w:r>
          </w:p>
        </w:tc>
        <w:tc>
          <w:tcPr>
            <w:tcW w:w="5523" w:type="dxa"/>
            <w:shd w:val="clear" w:color="auto" w:fill="auto"/>
          </w:tcPr>
          <w:p w14:paraId="63D70DCA" w14:textId="6FD5F9DC" w:rsidR="00407D0A" w:rsidRPr="00395F7D" w:rsidRDefault="00407D0A" w:rsidP="00407D0A">
            <w:pPr>
              <w:jc w:val="left"/>
              <w:rPr>
                <w:sz w:val="17"/>
                <w:szCs w:val="17"/>
              </w:rPr>
            </w:pPr>
            <w:r w:rsidRPr="00395F7D">
              <w:rPr>
                <w:sz w:val="17"/>
                <w:szCs w:val="17"/>
              </w:rPr>
              <w:t>The Governing Council of the ECB made the following monetary policy decisions on 16 July 2020. These were:</w:t>
            </w:r>
          </w:p>
          <w:p w14:paraId="4C38F991" w14:textId="77777777" w:rsidR="00407D0A" w:rsidRPr="00395F7D" w:rsidRDefault="00407D0A" w:rsidP="00407D0A">
            <w:pPr>
              <w:pStyle w:val="ListParagraph"/>
              <w:numPr>
                <w:ilvl w:val="0"/>
                <w:numId w:val="17"/>
              </w:numPr>
              <w:jc w:val="left"/>
              <w:rPr>
                <w:sz w:val="17"/>
                <w:szCs w:val="17"/>
              </w:rPr>
            </w:pPr>
            <w:r w:rsidRPr="00395F7D">
              <w:rPr>
                <w:sz w:val="17"/>
                <w:szCs w:val="17"/>
              </w:rPr>
              <w:t xml:space="preserve">Maintaining interest rates on the main refinancing operations, the marginal lending facility and the deposit facility at 0.00%, 0.25% and -0.50%. </w:t>
            </w:r>
          </w:p>
          <w:p w14:paraId="40CAFAD4" w14:textId="77777777" w:rsidR="00407D0A" w:rsidRPr="00395F7D" w:rsidRDefault="00407D0A" w:rsidP="00407D0A">
            <w:pPr>
              <w:pStyle w:val="ListParagraph"/>
              <w:numPr>
                <w:ilvl w:val="0"/>
                <w:numId w:val="17"/>
              </w:numPr>
              <w:jc w:val="left"/>
              <w:rPr>
                <w:sz w:val="17"/>
                <w:szCs w:val="17"/>
              </w:rPr>
            </w:pPr>
            <w:r w:rsidRPr="00395F7D">
              <w:rPr>
                <w:sz w:val="17"/>
                <w:szCs w:val="17"/>
              </w:rPr>
              <w:t>The continuance of the pandemic emergency purchase programme.</w:t>
            </w:r>
          </w:p>
          <w:p w14:paraId="4D0A49D0" w14:textId="77777777" w:rsidR="00407D0A" w:rsidRPr="00395F7D" w:rsidRDefault="00407D0A" w:rsidP="00407D0A">
            <w:pPr>
              <w:pStyle w:val="ListParagraph"/>
              <w:numPr>
                <w:ilvl w:val="0"/>
                <w:numId w:val="17"/>
              </w:numPr>
              <w:jc w:val="left"/>
              <w:rPr>
                <w:rFonts w:asciiTheme="majorHAnsi" w:hAnsiTheme="majorHAnsi" w:cstheme="majorHAnsi"/>
                <w:sz w:val="17"/>
                <w:szCs w:val="17"/>
              </w:rPr>
            </w:pPr>
            <w:r w:rsidRPr="00395F7D">
              <w:rPr>
                <w:sz w:val="17"/>
                <w:szCs w:val="17"/>
              </w:rPr>
              <w:t xml:space="preserve">Continuing net purchases under the asset purchase programme at a monthly pace of €20 </w:t>
            </w:r>
            <w:proofErr w:type="spellStart"/>
            <w:r w:rsidRPr="00395F7D">
              <w:rPr>
                <w:sz w:val="17"/>
                <w:szCs w:val="17"/>
              </w:rPr>
              <w:t>bn</w:t>
            </w:r>
            <w:proofErr w:type="spellEnd"/>
            <w:r w:rsidRPr="00395F7D">
              <w:rPr>
                <w:sz w:val="17"/>
                <w:szCs w:val="17"/>
              </w:rPr>
              <w:t xml:space="preserve">, along with additional €120 </w:t>
            </w:r>
            <w:proofErr w:type="spellStart"/>
            <w:r w:rsidRPr="00395F7D">
              <w:rPr>
                <w:sz w:val="17"/>
                <w:szCs w:val="17"/>
              </w:rPr>
              <w:t>bn</w:t>
            </w:r>
            <w:proofErr w:type="spellEnd"/>
            <w:r w:rsidRPr="00395F7D">
              <w:rPr>
                <w:sz w:val="17"/>
                <w:szCs w:val="17"/>
              </w:rPr>
              <w:t xml:space="preserve"> temporary envelope until the end of 2020.</w:t>
            </w:r>
          </w:p>
          <w:p w14:paraId="0C983B0A" w14:textId="6D4A0E0F" w:rsidR="00407D0A" w:rsidRPr="00395F7D" w:rsidRDefault="00407D0A" w:rsidP="00407D0A">
            <w:pPr>
              <w:pStyle w:val="ListParagraph"/>
              <w:numPr>
                <w:ilvl w:val="0"/>
                <w:numId w:val="17"/>
              </w:numPr>
              <w:jc w:val="left"/>
              <w:rPr>
                <w:rFonts w:asciiTheme="majorHAnsi" w:hAnsiTheme="majorHAnsi" w:cstheme="majorHAnsi"/>
                <w:color w:val="FF0000"/>
                <w:sz w:val="17"/>
                <w:szCs w:val="17"/>
              </w:rPr>
            </w:pPr>
            <w:r w:rsidRPr="00395F7D">
              <w:rPr>
                <w:sz w:val="17"/>
                <w:szCs w:val="17"/>
              </w:rPr>
              <w:t>Continue to provide ample liquidity through its refinancing operations, especially through TLTRO III.</w:t>
            </w:r>
          </w:p>
        </w:tc>
      </w:tr>
      <w:tr w:rsidR="00407D0A" w:rsidRPr="00166D67" w14:paraId="2D337810" w14:textId="77777777" w:rsidTr="001701F9">
        <w:trPr>
          <w:cantSplit/>
        </w:trPr>
        <w:tc>
          <w:tcPr>
            <w:tcW w:w="1097" w:type="dxa"/>
            <w:shd w:val="clear" w:color="auto" w:fill="auto"/>
          </w:tcPr>
          <w:p w14:paraId="65A7879E" w14:textId="6C813636" w:rsidR="00407D0A" w:rsidRPr="007F1827" w:rsidRDefault="00407D0A" w:rsidP="00407D0A">
            <w:pPr>
              <w:jc w:val="left"/>
              <w:rPr>
                <w:b/>
                <w:sz w:val="17"/>
                <w:szCs w:val="17"/>
              </w:rPr>
            </w:pPr>
            <w:r w:rsidRPr="007F1827">
              <w:rPr>
                <w:b/>
                <w:sz w:val="17"/>
                <w:szCs w:val="17"/>
              </w:rPr>
              <w:t>17 July 2020</w:t>
            </w:r>
          </w:p>
        </w:tc>
        <w:tc>
          <w:tcPr>
            <w:tcW w:w="1880" w:type="dxa"/>
            <w:shd w:val="clear" w:color="auto" w:fill="auto"/>
          </w:tcPr>
          <w:p w14:paraId="670AB23B" w14:textId="6A79953E" w:rsidR="00407D0A" w:rsidRPr="00166D67" w:rsidRDefault="00A324C3" w:rsidP="00407D0A">
            <w:pPr>
              <w:jc w:val="left"/>
              <w:rPr>
                <w:sz w:val="17"/>
                <w:szCs w:val="17"/>
              </w:rPr>
            </w:pPr>
            <w:hyperlink r:id="rId185" w:history="1">
              <w:r w:rsidR="00407D0A" w:rsidRPr="00166D67">
                <w:rPr>
                  <w:rStyle w:val="Hyperlink"/>
                  <w:sz w:val="17"/>
                  <w:szCs w:val="17"/>
                </w:rPr>
                <w:t>Results of the Q3 2020 ECB Survey of Professional Forecasters</w:t>
              </w:r>
            </w:hyperlink>
          </w:p>
        </w:tc>
        <w:tc>
          <w:tcPr>
            <w:tcW w:w="1819" w:type="dxa"/>
            <w:shd w:val="clear" w:color="auto" w:fill="auto"/>
          </w:tcPr>
          <w:p w14:paraId="2064689D" w14:textId="77777777" w:rsidR="00407D0A" w:rsidRPr="00166D67" w:rsidRDefault="00407D0A" w:rsidP="00407D0A">
            <w:pPr>
              <w:jc w:val="left"/>
              <w:rPr>
                <w:sz w:val="17"/>
                <w:szCs w:val="17"/>
              </w:rPr>
            </w:pPr>
          </w:p>
        </w:tc>
        <w:tc>
          <w:tcPr>
            <w:tcW w:w="2155" w:type="dxa"/>
            <w:shd w:val="clear" w:color="auto" w:fill="auto"/>
          </w:tcPr>
          <w:p w14:paraId="470E0715" w14:textId="49A86D94" w:rsidR="00407D0A" w:rsidRPr="00166D67" w:rsidRDefault="00407D0A" w:rsidP="00407D0A">
            <w:pPr>
              <w:jc w:val="left"/>
              <w:rPr>
                <w:sz w:val="17"/>
                <w:szCs w:val="17"/>
              </w:rPr>
            </w:pPr>
            <w:r w:rsidRPr="00166D67">
              <w:rPr>
                <w:sz w:val="17"/>
                <w:szCs w:val="17"/>
              </w:rPr>
              <w:t>All Regulated Financial Services Providers</w:t>
            </w:r>
          </w:p>
        </w:tc>
        <w:tc>
          <w:tcPr>
            <w:tcW w:w="5523" w:type="dxa"/>
            <w:shd w:val="clear" w:color="auto" w:fill="auto"/>
          </w:tcPr>
          <w:p w14:paraId="47C44902" w14:textId="77777777"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 xml:space="preserve">The ECB published the results to the ECB Survey of Professional Forecasters for Q3 of 2020. The results showed: </w:t>
            </w:r>
          </w:p>
          <w:p w14:paraId="3FF8FD77" w14:textId="6D952B95" w:rsidR="00407D0A" w:rsidRPr="00166D67" w:rsidRDefault="00407D0A" w:rsidP="00407D0A">
            <w:pPr>
              <w:pStyle w:val="ListParagraph"/>
              <w:numPr>
                <w:ilvl w:val="0"/>
                <w:numId w:val="21"/>
              </w:numPr>
              <w:jc w:val="left"/>
              <w:rPr>
                <w:sz w:val="17"/>
                <w:szCs w:val="17"/>
              </w:rPr>
            </w:pPr>
            <w:r w:rsidRPr="00166D67">
              <w:rPr>
                <w:rFonts w:asciiTheme="majorHAnsi" w:hAnsiTheme="majorHAnsi" w:cstheme="majorHAnsi"/>
                <w:sz w:val="17"/>
                <w:szCs w:val="17"/>
              </w:rPr>
              <w:t>the ongoing impact of coronavirus in the macroeconomic expectations;</w:t>
            </w:r>
          </w:p>
          <w:p w14:paraId="25F4C550" w14:textId="77777777" w:rsidR="00407D0A" w:rsidRPr="00166D67" w:rsidRDefault="00407D0A" w:rsidP="00407D0A">
            <w:pPr>
              <w:pStyle w:val="ListParagraph"/>
              <w:numPr>
                <w:ilvl w:val="0"/>
                <w:numId w:val="21"/>
              </w:numPr>
              <w:jc w:val="left"/>
              <w:rPr>
                <w:sz w:val="17"/>
                <w:szCs w:val="17"/>
              </w:rPr>
            </w:pPr>
            <w:r w:rsidRPr="00166D67">
              <w:rPr>
                <w:rFonts w:asciiTheme="majorHAnsi" w:hAnsiTheme="majorHAnsi" w:cstheme="majorHAnsi"/>
                <w:sz w:val="17"/>
                <w:szCs w:val="17"/>
              </w:rPr>
              <w:t>the</w:t>
            </w:r>
            <w:r w:rsidRPr="00166D67">
              <w:rPr>
                <w:sz w:val="17"/>
                <w:szCs w:val="17"/>
              </w:rPr>
              <w:t xml:space="preserve"> </w:t>
            </w:r>
            <w:r w:rsidRPr="00166D67">
              <w:rPr>
                <w:rFonts w:asciiTheme="majorHAnsi" w:hAnsiTheme="majorHAnsi" w:cstheme="majorHAnsi"/>
                <w:sz w:val="17"/>
                <w:szCs w:val="17"/>
              </w:rPr>
              <w:t xml:space="preserve">HICP inflation expectations were revised down for 2021 and 2022; </w:t>
            </w:r>
          </w:p>
          <w:p w14:paraId="5CFA1F8E" w14:textId="77777777" w:rsidR="00407D0A" w:rsidRPr="00166D67" w:rsidRDefault="00407D0A" w:rsidP="00407D0A">
            <w:pPr>
              <w:pStyle w:val="ListParagraph"/>
              <w:numPr>
                <w:ilvl w:val="0"/>
                <w:numId w:val="21"/>
              </w:numPr>
              <w:jc w:val="left"/>
              <w:rPr>
                <w:sz w:val="17"/>
                <w:szCs w:val="17"/>
              </w:rPr>
            </w:pPr>
            <w:r w:rsidRPr="00166D67">
              <w:rPr>
                <w:rFonts w:asciiTheme="majorHAnsi" w:hAnsiTheme="majorHAnsi" w:cstheme="majorHAnsi"/>
                <w:sz w:val="17"/>
                <w:szCs w:val="17"/>
              </w:rPr>
              <w:t xml:space="preserve">the real GDP growth expectations were revised towards a sharper downturn in 2020 and a slightly steeper recovery in subsequent years; and </w:t>
            </w:r>
          </w:p>
          <w:p w14:paraId="00328561" w14:textId="1B8874EB" w:rsidR="00407D0A" w:rsidRPr="00166D67" w:rsidRDefault="00407D0A" w:rsidP="00407D0A">
            <w:pPr>
              <w:pStyle w:val="ListParagraph"/>
              <w:numPr>
                <w:ilvl w:val="0"/>
                <w:numId w:val="21"/>
              </w:numPr>
              <w:jc w:val="left"/>
              <w:rPr>
                <w:sz w:val="17"/>
                <w:szCs w:val="17"/>
              </w:rPr>
            </w:pPr>
            <w:proofErr w:type="gramStart"/>
            <w:r w:rsidRPr="00166D67">
              <w:rPr>
                <w:rFonts w:asciiTheme="majorHAnsi" w:hAnsiTheme="majorHAnsi" w:cstheme="majorHAnsi"/>
                <w:sz w:val="17"/>
                <w:szCs w:val="17"/>
              </w:rPr>
              <w:t>the</w:t>
            </w:r>
            <w:proofErr w:type="gramEnd"/>
            <w:r w:rsidRPr="00166D67">
              <w:rPr>
                <w:rFonts w:asciiTheme="majorHAnsi" w:hAnsiTheme="majorHAnsi" w:cstheme="majorHAnsi"/>
                <w:sz w:val="17"/>
                <w:szCs w:val="17"/>
              </w:rPr>
              <w:t xml:space="preserve"> expectations for peak unemployment rates were pushed back to 2021, but expectations of unemployment rate in the longer term remain unchanged. </w:t>
            </w:r>
          </w:p>
        </w:tc>
      </w:tr>
      <w:tr w:rsidR="00407D0A" w:rsidRPr="00166D67" w14:paraId="2A9DC670" w14:textId="77777777" w:rsidTr="009B7981">
        <w:trPr>
          <w:cantSplit/>
        </w:trPr>
        <w:tc>
          <w:tcPr>
            <w:tcW w:w="1097" w:type="dxa"/>
            <w:shd w:val="clear" w:color="auto" w:fill="auto"/>
          </w:tcPr>
          <w:p w14:paraId="62AC92AC" w14:textId="2109EA38" w:rsidR="00407D0A" w:rsidRPr="007F1827" w:rsidRDefault="00407D0A" w:rsidP="00407D0A">
            <w:pPr>
              <w:jc w:val="left"/>
              <w:rPr>
                <w:b/>
                <w:sz w:val="17"/>
                <w:szCs w:val="17"/>
              </w:rPr>
            </w:pPr>
            <w:r>
              <w:rPr>
                <w:b/>
                <w:sz w:val="17"/>
                <w:szCs w:val="17"/>
              </w:rPr>
              <w:t>28 July 2020</w:t>
            </w:r>
          </w:p>
        </w:tc>
        <w:tc>
          <w:tcPr>
            <w:tcW w:w="1880" w:type="dxa"/>
            <w:shd w:val="clear" w:color="auto" w:fill="auto"/>
          </w:tcPr>
          <w:p w14:paraId="1183BBC9" w14:textId="43045448" w:rsidR="00407D0A" w:rsidRPr="0069563A" w:rsidRDefault="00A324C3" w:rsidP="00407D0A">
            <w:pPr>
              <w:jc w:val="left"/>
              <w:rPr>
                <w:sz w:val="17"/>
                <w:szCs w:val="17"/>
              </w:rPr>
            </w:pPr>
            <w:hyperlink r:id="rId186" w:history="1">
              <w:r w:rsidR="00407D0A" w:rsidRPr="0069563A">
                <w:rPr>
                  <w:rStyle w:val="Hyperlink"/>
                  <w:sz w:val="17"/>
                  <w:szCs w:val="17"/>
                </w:rPr>
                <w:t>ECB extends recommendation not to pay dividends until January 2021 and clarifies timeline to restore buffers</w:t>
              </w:r>
            </w:hyperlink>
          </w:p>
        </w:tc>
        <w:tc>
          <w:tcPr>
            <w:tcW w:w="1819" w:type="dxa"/>
            <w:shd w:val="clear" w:color="auto" w:fill="auto"/>
          </w:tcPr>
          <w:p w14:paraId="05C7C5B2" w14:textId="77777777" w:rsidR="00407D0A" w:rsidRPr="00166D67" w:rsidRDefault="00407D0A" w:rsidP="00407D0A">
            <w:pPr>
              <w:jc w:val="left"/>
              <w:rPr>
                <w:sz w:val="17"/>
                <w:szCs w:val="17"/>
              </w:rPr>
            </w:pPr>
          </w:p>
        </w:tc>
        <w:tc>
          <w:tcPr>
            <w:tcW w:w="2155" w:type="dxa"/>
            <w:shd w:val="clear" w:color="auto" w:fill="auto"/>
          </w:tcPr>
          <w:p w14:paraId="5BF7EF91" w14:textId="4E8283E5" w:rsidR="00407D0A" w:rsidRPr="00166D67" w:rsidRDefault="00407D0A" w:rsidP="00407D0A">
            <w:pPr>
              <w:jc w:val="left"/>
              <w:rPr>
                <w:sz w:val="17"/>
                <w:szCs w:val="17"/>
              </w:rPr>
            </w:pPr>
            <w:r w:rsidRPr="00166D67">
              <w:rPr>
                <w:sz w:val="17"/>
                <w:szCs w:val="17"/>
              </w:rPr>
              <w:t>All Regulated Financial Services Providers</w:t>
            </w:r>
          </w:p>
        </w:tc>
        <w:tc>
          <w:tcPr>
            <w:tcW w:w="5523" w:type="dxa"/>
            <w:shd w:val="clear" w:color="auto" w:fill="auto"/>
          </w:tcPr>
          <w:p w14:paraId="51AE6677" w14:textId="4399646A" w:rsidR="00407D0A" w:rsidRPr="00166D67" w:rsidRDefault="00407D0A" w:rsidP="00407D0A">
            <w:pPr>
              <w:jc w:val="left"/>
              <w:rPr>
                <w:rFonts w:asciiTheme="majorHAnsi" w:hAnsiTheme="majorHAnsi" w:cstheme="majorHAnsi"/>
                <w:sz w:val="17"/>
                <w:szCs w:val="17"/>
              </w:rPr>
            </w:pPr>
            <w:r>
              <w:rPr>
                <w:rFonts w:asciiTheme="majorHAnsi" w:hAnsiTheme="majorHAnsi" w:cstheme="majorHAnsi"/>
                <w:sz w:val="17"/>
                <w:szCs w:val="17"/>
              </w:rPr>
              <w:t xml:space="preserve">The ECB has extended its </w:t>
            </w:r>
            <w:hyperlink r:id="rId187" w:history="1">
              <w:r w:rsidRPr="0069563A">
                <w:rPr>
                  <w:rStyle w:val="Hyperlink"/>
                  <w:rFonts w:asciiTheme="majorHAnsi" w:hAnsiTheme="majorHAnsi" w:cstheme="majorHAnsi"/>
                  <w:sz w:val="17"/>
                  <w:szCs w:val="17"/>
                </w:rPr>
                <w:t>recommendation</w:t>
              </w:r>
            </w:hyperlink>
            <w:r>
              <w:rPr>
                <w:rFonts w:asciiTheme="majorHAnsi" w:hAnsiTheme="majorHAnsi" w:cstheme="majorHAnsi"/>
                <w:sz w:val="17"/>
                <w:szCs w:val="17"/>
              </w:rPr>
              <w:t xml:space="preserve"> to banks not to pay dividends and not to buy back shares until January 2021. In a </w:t>
            </w:r>
            <w:hyperlink r:id="rId188" w:history="1">
              <w:r w:rsidRPr="0069563A">
                <w:rPr>
                  <w:rStyle w:val="Hyperlink"/>
                  <w:rFonts w:asciiTheme="majorHAnsi" w:hAnsiTheme="majorHAnsi" w:cstheme="majorHAnsi"/>
                  <w:sz w:val="17"/>
                  <w:szCs w:val="17"/>
                </w:rPr>
                <w:t>letter</w:t>
              </w:r>
            </w:hyperlink>
            <w:r>
              <w:rPr>
                <w:rFonts w:asciiTheme="majorHAnsi" w:hAnsiTheme="majorHAnsi" w:cstheme="majorHAnsi"/>
                <w:sz w:val="17"/>
                <w:szCs w:val="17"/>
              </w:rPr>
              <w:t xml:space="preserve"> addressed to the CEOs of significant institutions, the ECB has also asked banks to adopt extreme moderation on variable remuneration to conserve capital. The ECB has also clarified its expected pace for banks to restore capital and liquidity positions – the exact timeline will be decided upon following the 2021 EU-wide stress test. </w:t>
            </w:r>
          </w:p>
        </w:tc>
      </w:tr>
      <w:tr w:rsidR="00407D0A" w:rsidRPr="00166D67" w14:paraId="27DA1298" w14:textId="77777777" w:rsidTr="001701F9">
        <w:trPr>
          <w:cantSplit/>
        </w:trPr>
        <w:tc>
          <w:tcPr>
            <w:tcW w:w="1097" w:type="dxa"/>
            <w:shd w:val="clear" w:color="auto" w:fill="auto"/>
          </w:tcPr>
          <w:p w14:paraId="73482953" w14:textId="4C148D29" w:rsidR="00407D0A" w:rsidRPr="007F1827" w:rsidRDefault="00407D0A" w:rsidP="00407D0A">
            <w:pPr>
              <w:jc w:val="left"/>
              <w:rPr>
                <w:b/>
                <w:sz w:val="17"/>
                <w:szCs w:val="17"/>
              </w:rPr>
            </w:pPr>
            <w:r w:rsidRPr="007F1827">
              <w:rPr>
                <w:b/>
                <w:sz w:val="17"/>
                <w:szCs w:val="17"/>
              </w:rPr>
              <w:t>21 August 2020</w:t>
            </w:r>
          </w:p>
        </w:tc>
        <w:tc>
          <w:tcPr>
            <w:tcW w:w="1880" w:type="dxa"/>
            <w:shd w:val="clear" w:color="auto" w:fill="auto"/>
          </w:tcPr>
          <w:p w14:paraId="32663DAE" w14:textId="47BBE7BD" w:rsidR="00407D0A" w:rsidRPr="00166D67" w:rsidRDefault="00A324C3" w:rsidP="00407D0A">
            <w:pPr>
              <w:jc w:val="left"/>
              <w:rPr>
                <w:sz w:val="17"/>
                <w:szCs w:val="17"/>
              </w:rPr>
            </w:pPr>
            <w:hyperlink r:id="rId189" w:history="1">
              <w:r w:rsidR="00407D0A" w:rsidRPr="00166D67">
                <w:rPr>
                  <w:rStyle w:val="Hyperlink"/>
                  <w:sz w:val="17"/>
                  <w:szCs w:val="17"/>
                </w:rPr>
                <w:t>Results of the June 2020 survey on credit terms and conditions in euro-denominated securities financing and over-the-counter derivatives markets (SESFOD)</w:t>
              </w:r>
            </w:hyperlink>
          </w:p>
        </w:tc>
        <w:tc>
          <w:tcPr>
            <w:tcW w:w="1819" w:type="dxa"/>
            <w:shd w:val="clear" w:color="auto" w:fill="auto"/>
          </w:tcPr>
          <w:p w14:paraId="1758FEAD" w14:textId="77777777" w:rsidR="00407D0A" w:rsidRPr="00166D67" w:rsidRDefault="00407D0A" w:rsidP="00407D0A">
            <w:pPr>
              <w:jc w:val="left"/>
              <w:rPr>
                <w:sz w:val="17"/>
                <w:szCs w:val="17"/>
              </w:rPr>
            </w:pPr>
          </w:p>
        </w:tc>
        <w:tc>
          <w:tcPr>
            <w:tcW w:w="2155" w:type="dxa"/>
            <w:shd w:val="clear" w:color="auto" w:fill="auto"/>
          </w:tcPr>
          <w:p w14:paraId="4C2EEABE" w14:textId="5D80A613" w:rsidR="00407D0A" w:rsidRPr="00166D67" w:rsidRDefault="00407D0A" w:rsidP="00407D0A">
            <w:pPr>
              <w:jc w:val="left"/>
              <w:rPr>
                <w:sz w:val="17"/>
                <w:szCs w:val="17"/>
              </w:rPr>
            </w:pPr>
            <w:r w:rsidRPr="00166D67">
              <w:rPr>
                <w:sz w:val="17"/>
                <w:szCs w:val="17"/>
              </w:rPr>
              <w:t>All Regulated Financial Services Providers</w:t>
            </w:r>
          </w:p>
        </w:tc>
        <w:tc>
          <w:tcPr>
            <w:tcW w:w="5523" w:type="dxa"/>
            <w:shd w:val="clear" w:color="auto" w:fill="auto"/>
          </w:tcPr>
          <w:p w14:paraId="535DA7DF" w14:textId="301A2FF8"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 xml:space="preserve">The ECB published the results to the ECB Survey on Credit Terms and Conditions in Euro-Denominated Securities Financing and Over-the-Counter Derivatives Markets (SESFOD). The results showed: </w:t>
            </w:r>
          </w:p>
          <w:p w14:paraId="50EB0193" w14:textId="08A0CA2C" w:rsidR="00407D0A" w:rsidRPr="00166D67" w:rsidRDefault="00407D0A" w:rsidP="00407D0A">
            <w:pPr>
              <w:pStyle w:val="ListParagraph"/>
              <w:numPr>
                <w:ilvl w:val="0"/>
                <w:numId w:val="22"/>
              </w:numPr>
              <w:jc w:val="left"/>
              <w:rPr>
                <w:sz w:val="17"/>
                <w:szCs w:val="17"/>
              </w:rPr>
            </w:pPr>
            <w:r w:rsidRPr="00166D67">
              <w:rPr>
                <w:sz w:val="17"/>
                <w:szCs w:val="17"/>
              </w:rPr>
              <w:t>The most widespread tightening of credit terms over a 3-month review period since SESFOD launched in 2013;</w:t>
            </w:r>
          </w:p>
          <w:p w14:paraId="62A83DA4" w14:textId="1B78A140" w:rsidR="00407D0A" w:rsidRPr="00166D67" w:rsidRDefault="00407D0A" w:rsidP="00407D0A">
            <w:pPr>
              <w:pStyle w:val="ListParagraph"/>
              <w:numPr>
                <w:ilvl w:val="0"/>
                <w:numId w:val="22"/>
              </w:numPr>
              <w:jc w:val="left"/>
              <w:rPr>
                <w:sz w:val="17"/>
                <w:szCs w:val="17"/>
              </w:rPr>
            </w:pPr>
            <w:r w:rsidRPr="00166D67">
              <w:rPr>
                <w:sz w:val="17"/>
                <w:szCs w:val="17"/>
              </w:rPr>
              <w:t>Less-favourable price terms for non-financial corporations and less-favourable non-price terms for hedge funds;</w:t>
            </w:r>
          </w:p>
          <w:p w14:paraId="6B51A33A" w14:textId="0B1B8449" w:rsidR="00407D0A" w:rsidRPr="00166D67" w:rsidRDefault="00407D0A" w:rsidP="00407D0A">
            <w:pPr>
              <w:pStyle w:val="ListParagraph"/>
              <w:numPr>
                <w:ilvl w:val="0"/>
                <w:numId w:val="22"/>
              </w:numPr>
              <w:jc w:val="left"/>
              <w:rPr>
                <w:sz w:val="17"/>
                <w:szCs w:val="17"/>
              </w:rPr>
            </w:pPr>
            <w:r w:rsidRPr="00166D67">
              <w:rPr>
                <w:sz w:val="17"/>
                <w:szCs w:val="17"/>
              </w:rPr>
              <w:t>Liquidity and trading deteriorated materially for all types of OTC derivatives, while initial margin requirements increased for almost all types; and</w:t>
            </w:r>
          </w:p>
          <w:p w14:paraId="3EF06832" w14:textId="39AE984C" w:rsidR="00407D0A" w:rsidRPr="00166D67" w:rsidRDefault="00407D0A" w:rsidP="00407D0A">
            <w:pPr>
              <w:pStyle w:val="ListParagraph"/>
              <w:numPr>
                <w:ilvl w:val="0"/>
                <w:numId w:val="22"/>
              </w:numPr>
              <w:jc w:val="left"/>
              <w:rPr>
                <w:sz w:val="17"/>
                <w:szCs w:val="17"/>
              </w:rPr>
            </w:pPr>
            <w:r w:rsidRPr="00166D67">
              <w:rPr>
                <w:sz w:val="17"/>
                <w:szCs w:val="17"/>
              </w:rPr>
              <w:t>Some insurance companies, hedge funds and investment funds faced strained liquidity situations linked to variation margins.</w:t>
            </w:r>
          </w:p>
        </w:tc>
      </w:tr>
      <w:tr w:rsidR="00407D0A" w:rsidRPr="00166D67" w14:paraId="03F0534D" w14:textId="77777777" w:rsidTr="001701F9">
        <w:trPr>
          <w:cantSplit/>
        </w:trPr>
        <w:tc>
          <w:tcPr>
            <w:tcW w:w="1097" w:type="dxa"/>
            <w:shd w:val="clear" w:color="auto" w:fill="auto"/>
          </w:tcPr>
          <w:p w14:paraId="1C02A6FE" w14:textId="2939E504" w:rsidR="00407D0A" w:rsidRPr="007F1827" w:rsidRDefault="00407D0A" w:rsidP="00407D0A">
            <w:pPr>
              <w:jc w:val="left"/>
              <w:rPr>
                <w:b/>
                <w:sz w:val="17"/>
                <w:szCs w:val="17"/>
              </w:rPr>
            </w:pPr>
            <w:r w:rsidRPr="007F1827">
              <w:rPr>
                <w:b/>
                <w:sz w:val="17"/>
                <w:szCs w:val="17"/>
              </w:rPr>
              <w:t>27 August 2020</w:t>
            </w:r>
          </w:p>
        </w:tc>
        <w:tc>
          <w:tcPr>
            <w:tcW w:w="1880" w:type="dxa"/>
            <w:shd w:val="clear" w:color="auto" w:fill="auto"/>
          </w:tcPr>
          <w:p w14:paraId="2CCD3232" w14:textId="2572EED6" w:rsidR="00407D0A" w:rsidRPr="00166D67" w:rsidRDefault="00A324C3" w:rsidP="00407D0A">
            <w:pPr>
              <w:jc w:val="left"/>
              <w:rPr>
                <w:sz w:val="17"/>
                <w:szCs w:val="17"/>
              </w:rPr>
            </w:pPr>
            <w:hyperlink r:id="rId190" w:history="1">
              <w:r w:rsidR="00407D0A" w:rsidRPr="00166D67">
                <w:rPr>
                  <w:rStyle w:val="Hyperlink"/>
                  <w:sz w:val="17"/>
                  <w:szCs w:val="17"/>
                </w:rPr>
                <w:t>ECB publishes consolidated banking data for end-March 2020</w:t>
              </w:r>
            </w:hyperlink>
          </w:p>
        </w:tc>
        <w:tc>
          <w:tcPr>
            <w:tcW w:w="1819" w:type="dxa"/>
            <w:shd w:val="clear" w:color="auto" w:fill="auto"/>
          </w:tcPr>
          <w:p w14:paraId="570B6C6C" w14:textId="77777777" w:rsidR="00407D0A" w:rsidRPr="00166D67" w:rsidRDefault="00407D0A" w:rsidP="00407D0A">
            <w:pPr>
              <w:jc w:val="left"/>
              <w:rPr>
                <w:sz w:val="17"/>
                <w:szCs w:val="17"/>
              </w:rPr>
            </w:pPr>
          </w:p>
        </w:tc>
        <w:tc>
          <w:tcPr>
            <w:tcW w:w="2155" w:type="dxa"/>
            <w:shd w:val="clear" w:color="auto" w:fill="auto"/>
          </w:tcPr>
          <w:p w14:paraId="6C4B5747" w14:textId="2B70028B" w:rsidR="00407D0A" w:rsidRPr="00166D67" w:rsidRDefault="00407D0A" w:rsidP="00407D0A">
            <w:pPr>
              <w:jc w:val="left"/>
              <w:rPr>
                <w:sz w:val="17"/>
                <w:szCs w:val="17"/>
              </w:rPr>
            </w:pPr>
            <w:r w:rsidRPr="00166D67">
              <w:rPr>
                <w:sz w:val="17"/>
                <w:szCs w:val="17"/>
              </w:rPr>
              <w:t>All Regulated Financial Services Providers</w:t>
            </w:r>
          </w:p>
        </w:tc>
        <w:tc>
          <w:tcPr>
            <w:tcW w:w="5523" w:type="dxa"/>
            <w:shd w:val="clear" w:color="auto" w:fill="auto"/>
          </w:tcPr>
          <w:p w14:paraId="1AC54ACB" w14:textId="77777777" w:rsidR="00407D0A" w:rsidRPr="00166D67" w:rsidRDefault="00407D0A" w:rsidP="00407D0A">
            <w:pPr>
              <w:jc w:val="left"/>
              <w:rPr>
                <w:rFonts w:asciiTheme="majorHAnsi" w:hAnsiTheme="majorHAnsi" w:cstheme="majorHAnsi"/>
                <w:sz w:val="17"/>
                <w:szCs w:val="17"/>
              </w:rPr>
            </w:pPr>
            <w:r w:rsidRPr="00166D67">
              <w:rPr>
                <w:rFonts w:asciiTheme="majorHAnsi" w:hAnsiTheme="majorHAnsi" w:cstheme="majorHAnsi"/>
                <w:sz w:val="17"/>
                <w:szCs w:val="17"/>
              </w:rPr>
              <w:t xml:space="preserve">The ECB published its consolidated banking data for the end of March 2020 which showed that: </w:t>
            </w:r>
          </w:p>
          <w:p w14:paraId="2EB1A34E" w14:textId="59B0F9F0" w:rsidR="00407D0A" w:rsidRPr="00166D67" w:rsidRDefault="00407D0A" w:rsidP="00407D0A">
            <w:pPr>
              <w:pStyle w:val="ListParagraph"/>
              <w:numPr>
                <w:ilvl w:val="0"/>
                <w:numId w:val="23"/>
              </w:numPr>
              <w:jc w:val="left"/>
              <w:rPr>
                <w:rFonts w:asciiTheme="majorHAnsi" w:hAnsiTheme="majorHAnsi" w:cstheme="majorHAnsi"/>
                <w:sz w:val="17"/>
                <w:szCs w:val="17"/>
              </w:rPr>
            </w:pPr>
            <w:r w:rsidRPr="00166D67">
              <w:rPr>
                <w:rFonts w:asciiTheme="majorHAnsi" w:hAnsiTheme="majorHAnsi" w:cstheme="majorHAnsi"/>
                <w:sz w:val="17"/>
                <w:szCs w:val="17"/>
              </w:rPr>
              <w:t>The total assets of EU-headquartered credit institutions (excluding the United Kingdom) increased by 4.9%, from €27.6 trillion in March 2019 to €29.0 trillion in March 2020;</w:t>
            </w:r>
          </w:p>
          <w:p w14:paraId="6FD2C598" w14:textId="6DDC4ED3" w:rsidR="00407D0A" w:rsidRPr="00166D67" w:rsidRDefault="00407D0A" w:rsidP="00407D0A">
            <w:pPr>
              <w:pStyle w:val="ListParagraph"/>
              <w:numPr>
                <w:ilvl w:val="0"/>
                <w:numId w:val="23"/>
              </w:numPr>
              <w:jc w:val="left"/>
              <w:rPr>
                <w:rFonts w:asciiTheme="majorHAnsi" w:hAnsiTheme="majorHAnsi" w:cstheme="majorHAnsi"/>
                <w:sz w:val="17"/>
                <w:szCs w:val="17"/>
              </w:rPr>
            </w:pPr>
            <w:r w:rsidRPr="00166D67">
              <w:rPr>
                <w:rFonts w:asciiTheme="majorHAnsi" w:hAnsiTheme="majorHAnsi" w:cstheme="majorHAnsi"/>
                <w:sz w:val="17"/>
                <w:szCs w:val="17"/>
              </w:rPr>
              <w:t>EU non-performing loans ratio (excluding the United Kingdom) dropped by 0.55 percentage points year on year to 2.98% in March 2020;</w:t>
            </w:r>
          </w:p>
          <w:p w14:paraId="03F34565" w14:textId="2D66C5FC" w:rsidR="00407D0A" w:rsidRPr="00166D67" w:rsidRDefault="00407D0A" w:rsidP="00407D0A">
            <w:pPr>
              <w:pStyle w:val="ListParagraph"/>
              <w:numPr>
                <w:ilvl w:val="0"/>
                <w:numId w:val="23"/>
              </w:numPr>
              <w:jc w:val="left"/>
              <w:rPr>
                <w:rFonts w:asciiTheme="majorHAnsi" w:hAnsiTheme="majorHAnsi" w:cstheme="majorHAnsi"/>
                <w:sz w:val="17"/>
                <w:szCs w:val="17"/>
              </w:rPr>
            </w:pPr>
            <w:r w:rsidRPr="00166D67">
              <w:rPr>
                <w:rFonts w:asciiTheme="majorHAnsi" w:hAnsiTheme="majorHAnsi" w:cstheme="majorHAnsi"/>
                <w:sz w:val="17"/>
                <w:szCs w:val="17"/>
              </w:rPr>
              <w:t>EU average for return on equity was 0.33% in March 2020; and</w:t>
            </w:r>
          </w:p>
          <w:p w14:paraId="21603C26" w14:textId="358B3BA2" w:rsidR="00407D0A" w:rsidRPr="00166D67" w:rsidRDefault="00407D0A" w:rsidP="00407D0A">
            <w:pPr>
              <w:pStyle w:val="ListParagraph"/>
              <w:numPr>
                <w:ilvl w:val="0"/>
                <w:numId w:val="23"/>
              </w:numPr>
              <w:jc w:val="left"/>
              <w:rPr>
                <w:sz w:val="17"/>
                <w:szCs w:val="17"/>
              </w:rPr>
            </w:pPr>
            <w:r w:rsidRPr="00166D67">
              <w:rPr>
                <w:rFonts w:asciiTheme="majorHAnsi" w:hAnsiTheme="majorHAnsi" w:cstheme="majorHAnsi"/>
                <w:sz w:val="17"/>
                <w:szCs w:val="17"/>
              </w:rPr>
              <w:t>EU average Common Equity Tier 1 ratio was 14.63% in March 2020.</w:t>
            </w:r>
          </w:p>
        </w:tc>
      </w:tr>
      <w:tr w:rsidR="00407D0A" w:rsidRPr="00166D67" w14:paraId="1CE4DAB8" w14:textId="77777777" w:rsidTr="001701F9">
        <w:trPr>
          <w:cantSplit/>
        </w:trPr>
        <w:tc>
          <w:tcPr>
            <w:tcW w:w="1097" w:type="dxa"/>
            <w:shd w:val="clear" w:color="auto" w:fill="auto"/>
          </w:tcPr>
          <w:p w14:paraId="5413F22E" w14:textId="7B88DC48" w:rsidR="00407D0A" w:rsidRPr="007F1827" w:rsidRDefault="00407D0A" w:rsidP="00407D0A">
            <w:pPr>
              <w:jc w:val="left"/>
              <w:rPr>
                <w:b/>
                <w:sz w:val="17"/>
                <w:szCs w:val="17"/>
              </w:rPr>
            </w:pPr>
            <w:r w:rsidRPr="007F1827">
              <w:rPr>
                <w:b/>
                <w:sz w:val="17"/>
                <w:szCs w:val="17"/>
              </w:rPr>
              <w:t>10 September 2020</w:t>
            </w:r>
          </w:p>
        </w:tc>
        <w:tc>
          <w:tcPr>
            <w:tcW w:w="1880" w:type="dxa"/>
            <w:shd w:val="clear" w:color="auto" w:fill="auto"/>
          </w:tcPr>
          <w:p w14:paraId="1C3EBBCF" w14:textId="6F716D9E" w:rsidR="00407D0A" w:rsidRPr="00166D67" w:rsidRDefault="00A324C3" w:rsidP="00407D0A">
            <w:pPr>
              <w:jc w:val="left"/>
              <w:rPr>
                <w:sz w:val="17"/>
                <w:szCs w:val="17"/>
              </w:rPr>
            </w:pPr>
            <w:hyperlink r:id="rId191" w:history="1">
              <w:r w:rsidR="00407D0A" w:rsidRPr="00166D67">
                <w:rPr>
                  <w:rStyle w:val="Hyperlink"/>
                  <w:sz w:val="17"/>
                  <w:szCs w:val="17"/>
                </w:rPr>
                <w:t>Monetary Policy Decisions</w:t>
              </w:r>
            </w:hyperlink>
          </w:p>
        </w:tc>
        <w:tc>
          <w:tcPr>
            <w:tcW w:w="1819" w:type="dxa"/>
            <w:shd w:val="clear" w:color="auto" w:fill="auto"/>
          </w:tcPr>
          <w:p w14:paraId="2DB7B9A9" w14:textId="77777777" w:rsidR="00407D0A" w:rsidRPr="00166D67" w:rsidRDefault="00407D0A" w:rsidP="00407D0A">
            <w:pPr>
              <w:jc w:val="left"/>
              <w:rPr>
                <w:sz w:val="17"/>
                <w:szCs w:val="17"/>
              </w:rPr>
            </w:pPr>
          </w:p>
        </w:tc>
        <w:tc>
          <w:tcPr>
            <w:tcW w:w="2155" w:type="dxa"/>
            <w:shd w:val="clear" w:color="auto" w:fill="auto"/>
          </w:tcPr>
          <w:p w14:paraId="7C5A4A7A" w14:textId="4DF15B11" w:rsidR="00407D0A" w:rsidRPr="00166D67" w:rsidRDefault="00407D0A" w:rsidP="00407D0A">
            <w:pPr>
              <w:jc w:val="left"/>
              <w:rPr>
                <w:sz w:val="17"/>
                <w:szCs w:val="17"/>
              </w:rPr>
            </w:pPr>
            <w:r w:rsidRPr="00166D67">
              <w:rPr>
                <w:sz w:val="17"/>
                <w:szCs w:val="17"/>
              </w:rPr>
              <w:t>All Regulated Financial Services Providers</w:t>
            </w:r>
          </w:p>
        </w:tc>
        <w:tc>
          <w:tcPr>
            <w:tcW w:w="5523" w:type="dxa"/>
            <w:shd w:val="clear" w:color="auto" w:fill="auto"/>
          </w:tcPr>
          <w:p w14:paraId="042F03F9" w14:textId="1C095AB0" w:rsidR="00407D0A" w:rsidRPr="00166D67" w:rsidRDefault="00407D0A" w:rsidP="00407D0A">
            <w:pPr>
              <w:jc w:val="left"/>
              <w:rPr>
                <w:sz w:val="17"/>
                <w:szCs w:val="17"/>
              </w:rPr>
            </w:pPr>
            <w:r w:rsidRPr="00166D67">
              <w:rPr>
                <w:sz w:val="17"/>
                <w:szCs w:val="17"/>
              </w:rPr>
              <w:t>The Governing Council of the ECB made the following monetary policy decisions on 10 September 2020. These were:</w:t>
            </w:r>
          </w:p>
          <w:p w14:paraId="65E46756" w14:textId="77777777" w:rsidR="00407D0A" w:rsidRPr="00166D67" w:rsidRDefault="00407D0A" w:rsidP="00407D0A">
            <w:pPr>
              <w:pStyle w:val="ListParagraph"/>
              <w:numPr>
                <w:ilvl w:val="0"/>
                <w:numId w:val="16"/>
              </w:numPr>
              <w:jc w:val="left"/>
              <w:rPr>
                <w:rFonts w:asciiTheme="majorHAnsi" w:hAnsiTheme="majorHAnsi" w:cstheme="majorHAnsi"/>
                <w:sz w:val="17"/>
                <w:szCs w:val="17"/>
              </w:rPr>
            </w:pPr>
            <w:r w:rsidRPr="00166D67">
              <w:rPr>
                <w:rFonts w:asciiTheme="majorHAnsi" w:hAnsiTheme="majorHAnsi" w:cstheme="majorHAnsi"/>
                <w:sz w:val="17"/>
                <w:szCs w:val="17"/>
              </w:rPr>
              <w:t>Maintaining interest rates on the main refinancing operations, the marginal lending facility and the deposit facility at 0.00%, 0.25% and -0.50%, respectively.</w:t>
            </w:r>
          </w:p>
          <w:p w14:paraId="422D38E4" w14:textId="1627783C" w:rsidR="00407D0A" w:rsidRPr="00166D67" w:rsidRDefault="00407D0A" w:rsidP="00407D0A">
            <w:pPr>
              <w:pStyle w:val="ListParagraph"/>
              <w:numPr>
                <w:ilvl w:val="0"/>
                <w:numId w:val="16"/>
              </w:numPr>
              <w:jc w:val="left"/>
              <w:rPr>
                <w:rFonts w:asciiTheme="majorHAnsi" w:hAnsiTheme="majorHAnsi" w:cstheme="majorHAnsi"/>
                <w:sz w:val="17"/>
                <w:szCs w:val="17"/>
              </w:rPr>
            </w:pPr>
            <w:r w:rsidRPr="00166D67">
              <w:rPr>
                <w:rFonts w:asciiTheme="majorHAnsi" w:hAnsiTheme="majorHAnsi" w:cstheme="majorHAnsi"/>
                <w:sz w:val="17"/>
                <w:szCs w:val="17"/>
              </w:rPr>
              <w:t>The continuance of the pandemic emergency purchase programme.</w:t>
            </w:r>
          </w:p>
          <w:p w14:paraId="3CF31BA9" w14:textId="77777777" w:rsidR="00407D0A" w:rsidRPr="00166D67" w:rsidRDefault="00407D0A" w:rsidP="00407D0A">
            <w:pPr>
              <w:pStyle w:val="ListParagraph"/>
              <w:numPr>
                <w:ilvl w:val="0"/>
                <w:numId w:val="16"/>
              </w:numPr>
              <w:jc w:val="left"/>
              <w:rPr>
                <w:rFonts w:asciiTheme="majorHAnsi" w:hAnsiTheme="majorHAnsi" w:cstheme="majorHAnsi"/>
                <w:sz w:val="17"/>
                <w:szCs w:val="17"/>
              </w:rPr>
            </w:pPr>
            <w:r w:rsidRPr="00166D67">
              <w:rPr>
                <w:rFonts w:asciiTheme="majorHAnsi" w:hAnsiTheme="majorHAnsi" w:cstheme="majorHAnsi"/>
                <w:sz w:val="17"/>
                <w:szCs w:val="17"/>
              </w:rPr>
              <w:t xml:space="preserve">Continuing net purchases under the asset purchase programme at a monthly pace of €20 </w:t>
            </w:r>
            <w:proofErr w:type="spellStart"/>
            <w:r w:rsidRPr="00166D67">
              <w:rPr>
                <w:rFonts w:asciiTheme="majorHAnsi" w:hAnsiTheme="majorHAnsi" w:cstheme="majorHAnsi"/>
                <w:sz w:val="17"/>
                <w:szCs w:val="17"/>
              </w:rPr>
              <w:t>bn</w:t>
            </w:r>
            <w:proofErr w:type="spellEnd"/>
            <w:r w:rsidRPr="00166D67">
              <w:rPr>
                <w:rFonts w:asciiTheme="majorHAnsi" w:hAnsiTheme="majorHAnsi" w:cstheme="majorHAnsi"/>
                <w:sz w:val="17"/>
                <w:szCs w:val="17"/>
              </w:rPr>
              <w:t xml:space="preserve">, along with additional €120 </w:t>
            </w:r>
            <w:proofErr w:type="spellStart"/>
            <w:r w:rsidRPr="00166D67">
              <w:rPr>
                <w:rFonts w:asciiTheme="majorHAnsi" w:hAnsiTheme="majorHAnsi" w:cstheme="majorHAnsi"/>
                <w:sz w:val="17"/>
                <w:szCs w:val="17"/>
              </w:rPr>
              <w:t>bn</w:t>
            </w:r>
            <w:proofErr w:type="spellEnd"/>
            <w:r w:rsidRPr="00166D67">
              <w:rPr>
                <w:rFonts w:asciiTheme="majorHAnsi" w:hAnsiTheme="majorHAnsi" w:cstheme="majorHAnsi"/>
                <w:sz w:val="17"/>
                <w:szCs w:val="17"/>
              </w:rPr>
              <w:t xml:space="preserve"> temporary envelope until the end of 2020.</w:t>
            </w:r>
          </w:p>
          <w:p w14:paraId="2EE83277" w14:textId="11D0FFFA" w:rsidR="00407D0A" w:rsidRPr="00166D67" w:rsidRDefault="00407D0A" w:rsidP="00407D0A">
            <w:pPr>
              <w:pStyle w:val="ListParagraph"/>
              <w:numPr>
                <w:ilvl w:val="0"/>
                <w:numId w:val="16"/>
              </w:numPr>
              <w:jc w:val="left"/>
              <w:rPr>
                <w:sz w:val="17"/>
                <w:szCs w:val="17"/>
              </w:rPr>
            </w:pPr>
            <w:r w:rsidRPr="00166D67">
              <w:rPr>
                <w:rFonts w:asciiTheme="majorHAnsi" w:hAnsiTheme="majorHAnsi" w:cstheme="majorHAnsi"/>
                <w:sz w:val="17"/>
                <w:szCs w:val="17"/>
              </w:rPr>
              <w:t>Continue to provide ample liquidity through its refinancing operations, especially through TLTRO III.</w:t>
            </w:r>
          </w:p>
        </w:tc>
      </w:tr>
      <w:tr w:rsidR="00407D0A" w:rsidRPr="00166D67" w14:paraId="5DB57A7F" w14:textId="77777777" w:rsidTr="009B7981">
        <w:trPr>
          <w:cantSplit/>
        </w:trPr>
        <w:tc>
          <w:tcPr>
            <w:tcW w:w="1097" w:type="dxa"/>
            <w:shd w:val="clear" w:color="auto" w:fill="auto"/>
          </w:tcPr>
          <w:p w14:paraId="5C5D3F31" w14:textId="1A218199" w:rsidR="00407D0A" w:rsidRPr="007F1827" w:rsidRDefault="00407D0A" w:rsidP="00407D0A">
            <w:pPr>
              <w:jc w:val="left"/>
              <w:rPr>
                <w:b/>
                <w:sz w:val="17"/>
                <w:szCs w:val="17"/>
              </w:rPr>
            </w:pPr>
            <w:r>
              <w:rPr>
                <w:b/>
                <w:sz w:val="17"/>
                <w:szCs w:val="17"/>
              </w:rPr>
              <w:t>17 September 2020</w:t>
            </w:r>
          </w:p>
        </w:tc>
        <w:tc>
          <w:tcPr>
            <w:tcW w:w="1880" w:type="dxa"/>
            <w:shd w:val="clear" w:color="auto" w:fill="auto"/>
          </w:tcPr>
          <w:p w14:paraId="004E26DA" w14:textId="53157885" w:rsidR="00407D0A" w:rsidRPr="000F30AE" w:rsidRDefault="00A324C3" w:rsidP="00407D0A">
            <w:pPr>
              <w:jc w:val="left"/>
              <w:rPr>
                <w:sz w:val="17"/>
                <w:szCs w:val="17"/>
              </w:rPr>
            </w:pPr>
            <w:hyperlink r:id="rId192" w:history="1">
              <w:r w:rsidR="00407D0A" w:rsidRPr="000F30AE">
                <w:rPr>
                  <w:rStyle w:val="Hyperlink"/>
                  <w:sz w:val="17"/>
                  <w:szCs w:val="17"/>
                </w:rPr>
                <w:t>ECB allows temporary relief in banks' leverage ratio after declaring exceptional circumstances due to pandemic</w:t>
              </w:r>
            </w:hyperlink>
          </w:p>
        </w:tc>
        <w:tc>
          <w:tcPr>
            <w:tcW w:w="1819" w:type="dxa"/>
            <w:shd w:val="clear" w:color="auto" w:fill="auto"/>
          </w:tcPr>
          <w:p w14:paraId="513529D3" w14:textId="77777777" w:rsidR="00407D0A" w:rsidRPr="00166D67" w:rsidRDefault="00407D0A" w:rsidP="00407D0A">
            <w:pPr>
              <w:jc w:val="left"/>
              <w:rPr>
                <w:sz w:val="17"/>
                <w:szCs w:val="17"/>
              </w:rPr>
            </w:pPr>
          </w:p>
        </w:tc>
        <w:tc>
          <w:tcPr>
            <w:tcW w:w="2155" w:type="dxa"/>
            <w:shd w:val="clear" w:color="auto" w:fill="auto"/>
          </w:tcPr>
          <w:p w14:paraId="7F925912" w14:textId="70557941" w:rsidR="00407D0A" w:rsidRPr="00166D67" w:rsidRDefault="00407D0A" w:rsidP="00407D0A">
            <w:pPr>
              <w:jc w:val="left"/>
              <w:rPr>
                <w:sz w:val="17"/>
                <w:szCs w:val="17"/>
              </w:rPr>
            </w:pPr>
            <w:r w:rsidRPr="00166D67">
              <w:rPr>
                <w:sz w:val="17"/>
                <w:szCs w:val="17"/>
              </w:rPr>
              <w:t>All Regulated Financial Services Providers</w:t>
            </w:r>
          </w:p>
        </w:tc>
        <w:tc>
          <w:tcPr>
            <w:tcW w:w="5523" w:type="dxa"/>
            <w:shd w:val="clear" w:color="auto" w:fill="auto"/>
          </w:tcPr>
          <w:p w14:paraId="2C6FF277" w14:textId="6A65FFA0" w:rsidR="00407D0A" w:rsidRPr="00166D67" w:rsidRDefault="00407D0A" w:rsidP="00407D0A">
            <w:pPr>
              <w:jc w:val="left"/>
              <w:rPr>
                <w:sz w:val="17"/>
                <w:szCs w:val="17"/>
              </w:rPr>
            </w:pPr>
            <w:r>
              <w:rPr>
                <w:sz w:val="17"/>
                <w:szCs w:val="17"/>
              </w:rPr>
              <w:t xml:space="preserve">As part of its regulatory supervisory discretion during exceptional circumstances, the ECB has announced that banks may exclude certain central bank exposures from the leverage ratio. Such relief measures shall be available until 27 June 2021. After this, the 3% leverage ratio will become binding unless another extension is decided upon. </w:t>
            </w:r>
          </w:p>
        </w:tc>
      </w:tr>
      <w:tr w:rsidR="00407D0A" w:rsidRPr="00166D67" w14:paraId="1B820356" w14:textId="77777777" w:rsidTr="00176170">
        <w:trPr>
          <w:cantSplit/>
        </w:trPr>
        <w:tc>
          <w:tcPr>
            <w:tcW w:w="1097" w:type="dxa"/>
            <w:shd w:val="clear" w:color="auto" w:fill="auto"/>
          </w:tcPr>
          <w:p w14:paraId="158AA473" w14:textId="6A1A84CB" w:rsidR="00407D0A" w:rsidRPr="007F1827" w:rsidRDefault="00407D0A" w:rsidP="00407D0A">
            <w:pPr>
              <w:jc w:val="left"/>
              <w:rPr>
                <w:b/>
                <w:sz w:val="17"/>
                <w:szCs w:val="17"/>
              </w:rPr>
            </w:pPr>
            <w:r w:rsidRPr="007F1827">
              <w:rPr>
                <w:b/>
                <w:sz w:val="17"/>
                <w:szCs w:val="17"/>
              </w:rPr>
              <w:t>10 November 2020</w:t>
            </w:r>
          </w:p>
        </w:tc>
        <w:tc>
          <w:tcPr>
            <w:tcW w:w="1880" w:type="dxa"/>
            <w:shd w:val="clear" w:color="auto" w:fill="auto"/>
          </w:tcPr>
          <w:p w14:paraId="02D385F4" w14:textId="23B05F67" w:rsidR="00407D0A" w:rsidRPr="00166D67" w:rsidRDefault="00A324C3" w:rsidP="00407D0A">
            <w:pPr>
              <w:jc w:val="left"/>
              <w:rPr>
                <w:sz w:val="17"/>
                <w:szCs w:val="17"/>
              </w:rPr>
            </w:pPr>
            <w:hyperlink r:id="rId193" w:history="1">
              <w:r w:rsidR="00407D0A" w:rsidRPr="00166D67">
                <w:rPr>
                  <w:rStyle w:val="Hyperlink"/>
                  <w:sz w:val="17"/>
                  <w:szCs w:val="17"/>
                </w:rPr>
                <w:t>Financial integration during the pandemic</w:t>
              </w:r>
            </w:hyperlink>
          </w:p>
        </w:tc>
        <w:tc>
          <w:tcPr>
            <w:tcW w:w="1819" w:type="dxa"/>
            <w:shd w:val="clear" w:color="auto" w:fill="auto"/>
          </w:tcPr>
          <w:p w14:paraId="07C6A1A2" w14:textId="77777777" w:rsidR="00407D0A" w:rsidRPr="00166D67" w:rsidRDefault="00407D0A" w:rsidP="00407D0A">
            <w:pPr>
              <w:jc w:val="left"/>
              <w:rPr>
                <w:sz w:val="17"/>
                <w:szCs w:val="17"/>
              </w:rPr>
            </w:pPr>
          </w:p>
        </w:tc>
        <w:tc>
          <w:tcPr>
            <w:tcW w:w="2155" w:type="dxa"/>
            <w:shd w:val="clear" w:color="auto" w:fill="auto"/>
          </w:tcPr>
          <w:p w14:paraId="6A337BF9" w14:textId="3F3F8307" w:rsidR="00407D0A" w:rsidRPr="00166D67" w:rsidRDefault="00407D0A" w:rsidP="00407D0A">
            <w:pPr>
              <w:jc w:val="left"/>
              <w:rPr>
                <w:sz w:val="17"/>
                <w:szCs w:val="17"/>
              </w:rPr>
            </w:pPr>
            <w:r w:rsidRPr="00166D67">
              <w:rPr>
                <w:sz w:val="17"/>
                <w:szCs w:val="17"/>
              </w:rPr>
              <w:t>All Regulated Financial Services Providers</w:t>
            </w:r>
          </w:p>
        </w:tc>
        <w:tc>
          <w:tcPr>
            <w:tcW w:w="5523" w:type="dxa"/>
            <w:shd w:val="clear" w:color="auto" w:fill="auto"/>
          </w:tcPr>
          <w:p w14:paraId="5427F229" w14:textId="2EA473AF" w:rsidR="00407D0A" w:rsidRPr="00166D67" w:rsidRDefault="00407D0A" w:rsidP="00407D0A">
            <w:pPr>
              <w:jc w:val="left"/>
              <w:rPr>
                <w:sz w:val="17"/>
                <w:szCs w:val="17"/>
              </w:rPr>
            </w:pPr>
            <w:r w:rsidRPr="00166D67">
              <w:rPr>
                <w:sz w:val="17"/>
                <w:szCs w:val="17"/>
              </w:rPr>
              <w:t xml:space="preserve">The ECB has published an Economic Bulletin, which provides an overview of financial fragmentation during the pandemic, and the policies put in place to counter its effects. The ECB has been monitoring developments by using high-frequency indicators and matching these to unfolding economic and political events and the main policy responses in monetary, fiscal and financial stability policies across Europe. The Bulletin notes that the financial integration in the euro area had recovered to pre-coronavirus levels for most indicators, although recovery remains fragile and relies on a lot of fiscal, monetary and prudential policy support.  </w:t>
            </w:r>
          </w:p>
        </w:tc>
      </w:tr>
      <w:tr w:rsidR="00407D0A" w:rsidRPr="00166D67" w14:paraId="3811984D" w14:textId="77777777" w:rsidTr="00176170">
        <w:trPr>
          <w:cantSplit/>
        </w:trPr>
        <w:tc>
          <w:tcPr>
            <w:tcW w:w="1097" w:type="dxa"/>
            <w:shd w:val="clear" w:color="auto" w:fill="auto"/>
          </w:tcPr>
          <w:p w14:paraId="6DF5386D" w14:textId="4E2BCA7A" w:rsidR="00407D0A" w:rsidRPr="007F1827" w:rsidRDefault="00407D0A" w:rsidP="00407D0A">
            <w:pPr>
              <w:jc w:val="left"/>
              <w:rPr>
                <w:b/>
                <w:sz w:val="17"/>
                <w:szCs w:val="17"/>
              </w:rPr>
            </w:pPr>
            <w:r w:rsidRPr="007F1827">
              <w:rPr>
                <w:b/>
                <w:sz w:val="17"/>
                <w:szCs w:val="17"/>
              </w:rPr>
              <w:t>10 November 2020</w:t>
            </w:r>
          </w:p>
        </w:tc>
        <w:tc>
          <w:tcPr>
            <w:tcW w:w="1880" w:type="dxa"/>
            <w:shd w:val="clear" w:color="auto" w:fill="auto"/>
          </w:tcPr>
          <w:p w14:paraId="73829AC4" w14:textId="6B3F2F46" w:rsidR="00407D0A" w:rsidRPr="00166D67" w:rsidRDefault="00A324C3" w:rsidP="00407D0A">
            <w:pPr>
              <w:jc w:val="left"/>
              <w:rPr>
                <w:sz w:val="17"/>
                <w:szCs w:val="17"/>
              </w:rPr>
            </w:pPr>
            <w:hyperlink r:id="rId194" w:history="1">
              <w:r w:rsidR="00407D0A" w:rsidRPr="00166D67">
                <w:rPr>
                  <w:rStyle w:val="Hyperlink"/>
                  <w:sz w:val="17"/>
                  <w:szCs w:val="17"/>
                </w:rPr>
                <w:t>How coronavirus affects potential output</w:t>
              </w:r>
            </w:hyperlink>
          </w:p>
        </w:tc>
        <w:tc>
          <w:tcPr>
            <w:tcW w:w="1819" w:type="dxa"/>
            <w:shd w:val="clear" w:color="auto" w:fill="auto"/>
          </w:tcPr>
          <w:p w14:paraId="74784411" w14:textId="77777777" w:rsidR="00407D0A" w:rsidRPr="00166D67" w:rsidRDefault="00407D0A" w:rsidP="00407D0A">
            <w:pPr>
              <w:jc w:val="left"/>
              <w:rPr>
                <w:sz w:val="17"/>
                <w:szCs w:val="17"/>
              </w:rPr>
            </w:pPr>
          </w:p>
        </w:tc>
        <w:tc>
          <w:tcPr>
            <w:tcW w:w="2155" w:type="dxa"/>
            <w:shd w:val="clear" w:color="auto" w:fill="auto"/>
          </w:tcPr>
          <w:p w14:paraId="44D82B8C" w14:textId="02928AF3" w:rsidR="00407D0A" w:rsidRPr="00166D67" w:rsidRDefault="00407D0A" w:rsidP="00407D0A">
            <w:pPr>
              <w:jc w:val="left"/>
              <w:rPr>
                <w:sz w:val="17"/>
                <w:szCs w:val="17"/>
              </w:rPr>
            </w:pPr>
            <w:r w:rsidRPr="00166D67">
              <w:rPr>
                <w:sz w:val="17"/>
                <w:szCs w:val="17"/>
              </w:rPr>
              <w:t>All Regulated Financial Services Providers</w:t>
            </w:r>
          </w:p>
        </w:tc>
        <w:tc>
          <w:tcPr>
            <w:tcW w:w="5523" w:type="dxa"/>
            <w:shd w:val="clear" w:color="auto" w:fill="auto"/>
          </w:tcPr>
          <w:p w14:paraId="340B7EF0" w14:textId="7E4BD207" w:rsidR="00407D0A" w:rsidRPr="00166D67" w:rsidRDefault="00407D0A" w:rsidP="00407D0A">
            <w:pPr>
              <w:jc w:val="left"/>
              <w:rPr>
                <w:sz w:val="17"/>
                <w:szCs w:val="17"/>
              </w:rPr>
            </w:pPr>
            <w:r w:rsidRPr="00166D67">
              <w:rPr>
                <w:sz w:val="17"/>
                <w:szCs w:val="17"/>
              </w:rPr>
              <w:t xml:space="preserve">The ECB has published an Economic Bulletin, which provides an overview of the potential impact of COVID-19 on the euro area. The Bulletin shows that COVID-19 has lowered the potential output and has affected the labour, capital and total factor productive, in particular. It also shows that the scale of the impact in the short and long term is still highly uncertain. The Bulletin notes that it is likely that the crisis will induce some structural changes and places a pivotal role on economic policies in facilitating this change. </w:t>
            </w:r>
          </w:p>
        </w:tc>
      </w:tr>
      <w:tr w:rsidR="00407D0A" w:rsidRPr="00166D67" w14:paraId="67B81214" w14:textId="77777777" w:rsidTr="009B7981">
        <w:trPr>
          <w:cantSplit/>
        </w:trPr>
        <w:tc>
          <w:tcPr>
            <w:tcW w:w="1097" w:type="dxa"/>
            <w:shd w:val="clear" w:color="auto" w:fill="auto"/>
          </w:tcPr>
          <w:p w14:paraId="680917AB" w14:textId="4ECF1A15" w:rsidR="00407D0A" w:rsidRPr="007F1827" w:rsidRDefault="00407D0A" w:rsidP="00407D0A">
            <w:pPr>
              <w:jc w:val="left"/>
              <w:rPr>
                <w:b/>
                <w:sz w:val="17"/>
                <w:szCs w:val="17"/>
              </w:rPr>
            </w:pPr>
            <w:r>
              <w:rPr>
                <w:b/>
                <w:sz w:val="17"/>
                <w:szCs w:val="17"/>
              </w:rPr>
              <w:t>25 November 2020</w:t>
            </w:r>
          </w:p>
        </w:tc>
        <w:tc>
          <w:tcPr>
            <w:tcW w:w="1880" w:type="dxa"/>
            <w:shd w:val="clear" w:color="auto" w:fill="auto"/>
          </w:tcPr>
          <w:p w14:paraId="3FDDE585" w14:textId="2CCAABE2" w:rsidR="00407D0A" w:rsidRDefault="00A324C3" w:rsidP="00407D0A">
            <w:pPr>
              <w:jc w:val="left"/>
            </w:pPr>
            <w:hyperlink r:id="rId195" w:anchor="toc1" w:history="1">
              <w:r w:rsidR="00407D0A" w:rsidRPr="00176170">
                <w:rPr>
                  <w:rStyle w:val="Hyperlink"/>
                  <w:sz w:val="17"/>
                  <w:szCs w:val="17"/>
                </w:rPr>
                <w:t>Financial Stability after the coronavirus shock</w:t>
              </w:r>
            </w:hyperlink>
          </w:p>
        </w:tc>
        <w:tc>
          <w:tcPr>
            <w:tcW w:w="1819" w:type="dxa"/>
            <w:shd w:val="clear" w:color="auto" w:fill="auto"/>
          </w:tcPr>
          <w:p w14:paraId="3EBAF675" w14:textId="77777777" w:rsidR="00407D0A" w:rsidRPr="00166D67" w:rsidRDefault="00407D0A" w:rsidP="00407D0A">
            <w:pPr>
              <w:jc w:val="left"/>
              <w:rPr>
                <w:sz w:val="17"/>
                <w:szCs w:val="17"/>
              </w:rPr>
            </w:pPr>
          </w:p>
        </w:tc>
        <w:tc>
          <w:tcPr>
            <w:tcW w:w="2155" w:type="dxa"/>
            <w:shd w:val="clear" w:color="auto" w:fill="auto"/>
          </w:tcPr>
          <w:p w14:paraId="258DC9DC" w14:textId="74CCFD28" w:rsidR="00407D0A" w:rsidRPr="00166D67" w:rsidRDefault="00407D0A" w:rsidP="00407D0A">
            <w:pPr>
              <w:jc w:val="left"/>
              <w:rPr>
                <w:sz w:val="17"/>
                <w:szCs w:val="17"/>
              </w:rPr>
            </w:pPr>
            <w:r w:rsidRPr="00166D67">
              <w:rPr>
                <w:sz w:val="17"/>
                <w:szCs w:val="17"/>
              </w:rPr>
              <w:t>All Regulated Financial Services Providers</w:t>
            </w:r>
          </w:p>
        </w:tc>
        <w:tc>
          <w:tcPr>
            <w:tcW w:w="5523" w:type="dxa"/>
            <w:shd w:val="clear" w:color="auto" w:fill="auto"/>
          </w:tcPr>
          <w:p w14:paraId="4B85D137" w14:textId="6E3C0C65" w:rsidR="00407D0A" w:rsidRPr="00166D67" w:rsidRDefault="00407D0A" w:rsidP="00407D0A">
            <w:pPr>
              <w:jc w:val="left"/>
              <w:rPr>
                <w:sz w:val="17"/>
                <w:szCs w:val="17"/>
              </w:rPr>
            </w:pPr>
            <w:r>
              <w:rPr>
                <w:sz w:val="17"/>
                <w:szCs w:val="17"/>
              </w:rPr>
              <w:t xml:space="preserve">The ECB published its Financial Stability Review for November 2020. It assesses the implications from the ongoing coronavirus pandemic and the associated change in prospects for financial market functioning, debt sustainability, bank profitability and the non-bank financial sector. It notes that financial markets remain vulnerable, notwithstanding considerable policy support, and that difficult decisions lie ahead for authorities in respect of policy measure extensions and increasing debt burdens. </w:t>
            </w:r>
          </w:p>
        </w:tc>
      </w:tr>
      <w:tr w:rsidR="00407D0A" w:rsidRPr="00166D67" w14:paraId="4140F493" w14:textId="77777777" w:rsidTr="009B7981">
        <w:trPr>
          <w:cantSplit/>
        </w:trPr>
        <w:tc>
          <w:tcPr>
            <w:tcW w:w="1097" w:type="dxa"/>
            <w:shd w:val="clear" w:color="auto" w:fill="auto"/>
          </w:tcPr>
          <w:p w14:paraId="187D99B1" w14:textId="14A2B412" w:rsidR="00407D0A" w:rsidRDefault="00407D0A" w:rsidP="00407D0A">
            <w:pPr>
              <w:jc w:val="left"/>
              <w:rPr>
                <w:b/>
                <w:sz w:val="17"/>
                <w:szCs w:val="17"/>
              </w:rPr>
            </w:pPr>
            <w:r>
              <w:rPr>
                <w:b/>
                <w:sz w:val="17"/>
                <w:szCs w:val="17"/>
              </w:rPr>
              <w:t>4 December 2020</w:t>
            </w:r>
          </w:p>
        </w:tc>
        <w:tc>
          <w:tcPr>
            <w:tcW w:w="1880" w:type="dxa"/>
            <w:shd w:val="clear" w:color="auto" w:fill="auto"/>
          </w:tcPr>
          <w:p w14:paraId="257DE8DA" w14:textId="2C39823C" w:rsidR="00407D0A" w:rsidRPr="00430413" w:rsidRDefault="00A324C3" w:rsidP="00407D0A">
            <w:pPr>
              <w:jc w:val="left"/>
              <w:rPr>
                <w:sz w:val="17"/>
                <w:szCs w:val="17"/>
              </w:rPr>
            </w:pPr>
            <w:hyperlink r:id="rId196" w:history="1">
              <w:r w:rsidR="00407D0A" w:rsidRPr="00430413">
                <w:rPr>
                  <w:rStyle w:val="Hyperlink"/>
                  <w:sz w:val="17"/>
                  <w:szCs w:val="17"/>
                </w:rPr>
                <w:t>Letter on the identification and measurement of credit risk in the context of COVID-19</w:t>
              </w:r>
            </w:hyperlink>
          </w:p>
        </w:tc>
        <w:tc>
          <w:tcPr>
            <w:tcW w:w="1819" w:type="dxa"/>
            <w:shd w:val="clear" w:color="auto" w:fill="auto"/>
          </w:tcPr>
          <w:p w14:paraId="6A5ACCF5" w14:textId="77777777" w:rsidR="00407D0A" w:rsidRPr="00166D67" w:rsidRDefault="00407D0A" w:rsidP="00407D0A">
            <w:pPr>
              <w:jc w:val="left"/>
              <w:rPr>
                <w:sz w:val="17"/>
                <w:szCs w:val="17"/>
              </w:rPr>
            </w:pPr>
          </w:p>
        </w:tc>
        <w:tc>
          <w:tcPr>
            <w:tcW w:w="2155" w:type="dxa"/>
            <w:shd w:val="clear" w:color="auto" w:fill="auto"/>
          </w:tcPr>
          <w:p w14:paraId="3875C412" w14:textId="529F53B5" w:rsidR="00407D0A" w:rsidRPr="00166D67" w:rsidRDefault="00407D0A" w:rsidP="00407D0A">
            <w:pPr>
              <w:jc w:val="left"/>
              <w:rPr>
                <w:sz w:val="17"/>
                <w:szCs w:val="17"/>
              </w:rPr>
            </w:pPr>
            <w:r>
              <w:rPr>
                <w:sz w:val="17"/>
                <w:szCs w:val="17"/>
              </w:rPr>
              <w:t>Significant Institutions</w:t>
            </w:r>
          </w:p>
        </w:tc>
        <w:tc>
          <w:tcPr>
            <w:tcW w:w="5523" w:type="dxa"/>
            <w:shd w:val="clear" w:color="auto" w:fill="auto"/>
          </w:tcPr>
          <w:p w14:paraId="18EFC40D" w14:textId="1FAB534E" w:rsidR="00407D0A" w:rsidRDefault="00407D0A" w:rsidP="00407D0A">
            <w:pPr>
              <w:jc w:val="left"/>
              <w:rPr>
                <w:sz w:val="17"/>
                <w:szCs w:val="17"/>
              </w:rPr>
            </w:pPr>
            <w:r>
              <w:rPr>
                <w:sz w:val="17"/>
                <w:szCs w:val="17"/>
              </w:rPr>
              <w:t xml:space="preserve">On 4 December 2020, the Chair of the Supervisory Board of the ECB, Andrea </w:t>
            </w:r>
            <w:proofErr w:type="spellStart"/>
            <w:r>
              <w:rPr>
                <w:sz w:val="17"/>
                <w:szCs w:val="17"/>
              </w:rPr>
              <w:t>Enria</w:t>
            </w:r>
            <w:proofErr w:type="spellEnd"/>
            <w:r>
              <w:rPr>
                <w:sz w:val="17"/>
                <w:szCs w:val="17"/>
              </w:rPr>
              <w:t>, wrote to the CEO's of significant institutions (</w:t>
            </w:r>
            <w:r w:rsidRPr="00BB55B2">
              <w:rPr>
                <w:b/>
                <w:sz w:val="17"/>
                <w:szCs w:val="17"/>
              </w:rPr>
              <w:t>SI</w:t>
            </w:r>
            <w:r w:rsidRPr="00764CD0">
              <w:rPr>
                <w:sz w:val="17"/>
                <w:szCs w:val="17"/>
              </w:rPr>
              <w:t>s</w:t>
            </w:r>
            <w:r>
              <w:rPr>
                <w:sz w:val="17"/>
                <w:szCs w:val="17"/>
              </w:rPr>
              <w:t xml:space="preserve">) to provide guidance on credit risk identification and measurement in the context of COVID-19. The letter noted that although SIs should continue to apply flexibility, they should also continue to identify and report asset quality deterioration in order to maintain a clear and accurate picture of the risks within the sector. SIs should use well-structured and sound creditworthiness assessment procedures, and should also allocate exposures to the appropriate IFRS 9 stages. The ECB expects SIs to pay particular attention to sound credit risk management policies and procedures, as detailed in the letter.  </w:t>
            </w:r>
          </w:p>
        </w:tc>
      </w:tr>
      <w:tr w:rsidR="00407D0A" w:rsidRPr="00166D67" w14:paraId="59B90225" w14:textId="77777777" w:rsidTr="009B7981">
        <w:trPr>
          <w:cantSplit/>
        </w:trPr>
        <w:tc>
          <w:tcPr>
            <w:tcW w:w="1097" w:type="dxa"/>
            <w:shd w:val="clear" w:color="auto" w:fill="auto"/>
          </w:tcPr>
          <w:p w14:paraId="423EAA30" w14:textId="7519783F" w:rsidR="00407D0A" w:rsidRDefault="00407D0A" w:rsidP="00407D0A">
            <w:pPr>
              <w:jc w:val="left"/>
              <w:rPr>
                <w:b/>
                <w:sz w:val="17"/>
                <w:szCs w:val="17"/>
              </w:rPr>
            </w:pPr>
            <w:r>
              <w:rPr>
                <w:b/>
                <w:sz w:val="17"/>
                <w:szCs w:val="17"/>
              </w:rPr>
              <w:t>4 December 2020</w:t>
            </w:r>
          </w:p>
        </w:tc>
        <w:tc>
          <w:tcPr>
            <w:tcW w:w="1880" w:type="dxa"/>
            <w:shd w:val="clear" w:color="auto" w:fill="auto"/>
          </w:tcPr>
          <w:p w14:paraId="7913DD75" w14:textId="640D3EDE" w:rsidR="00407D0A" w:rsidRPr="00430413" w:rsidRDefault="00A324C3" w:rsidP="00407D0A">
            <w:pPr>
              <w:jc w:val="left"/>
              <w:rPr>
                <w:sz w:val="17"/>
                <w:szCs w:val="17"/>
              </w:rPr>
            </w:pPr>
            <w:hyperlink r:id="rId197" w:history="1">
              <w:r w:rsidR="00407D0A" w:rsidRPr="00430413">
                <w:rPr>
                  <w:rStyle w:val="Hyperlink"/>
                  <w:sz w:val="17"/>
                  <w:szCs w:val="17"/>
                </w:rPr>
                <w:t xml:space="preserve">Letter from Andrea </w:t>
              </w:r>
              <w:proofErr w:type="spellStart"/>
              <w:r w:rsidR="00407D0A" w:rsidRPr="00430413">
                <w:rPr>
                  <w:rStyle w:val="Hyperlink"/>
                  <w:sz w:val="17"/>
                  <w:szCs w:val="17"/>
                </w:rPr>
                <w:t>Enria</w:t>
              </w:r>
              <w:proofErr w:type="spellEnd"/>
              <w:r w:rsidR="00407D0A" w:rsidRPr="00430413">
                <w:rPr>
                  <w:rStyle w:val="Hyperlink"/>
                  <w:sz w:val="17"/>
                  <w:szCs w:val="17"/>
                </w:rPr>
                <w:t xml:space="preserve">, Chair of the Supervisory Board, to Mr </w:t>
              </w:r>
              <w:proofErr w:type="spellStart"/>
              <w:r w:rsidR="00407D0A" w:rsidRPr="00430413">
                <w:rPr>
                  <w:rStyle w:val="Hyperlink"/>
                  <w:sz w:val="17"/>
                  <w:szCs w:val="17"/>
                </w:rPr>
                <w:t>Garicano</w:t>
              </w:r>
              <w:proofErr w:type="spellEnd"/>
              <w:r w:rsidR="00407D0A" w:rsidRPr="00430413">
                <w:rPr>
                  <w:rStyle w:val="Hyperlink"/>
                  <w:sz w:val="17"/>
                  <w:szCs w:val="17"/>
                </w:rPr>
                <w:t>, MEP on dividend distributions</w:t>
              </w:r>
            </w:hyperlink>
          </w:p>
        </w:tc>
        <w:tc>
          <w:tcPr>
            <w:tcW w:w="1819" w:type="dxa"/>
            <w:shd w:val="clear" w:color="auto" w:fill="auto"/>
          </w:tcPr>
          <w:p w14:paraId="0A23D289" w14:textId="77777777" w:rsidR="00407D0A" w:rsidRPr="00166D67" w:rsidRDefault="00407D0A" w:rsidP="00407D0A">
            <w:pPr>
              <w:jc w:val="left"/>
              <w:rPr>
                <w:sz w:val="17"/>
                <w:szCs w:val="17"/>
              </w:rPr>
            </w:pPr>
          </w:p>
        </w:tc>
        <w:tc>
          <w:tcPr>
            <w:tcW w:w="2155" w:type="dxa"/>
            <w:shd w:val="clear" w:color="auto" w:fill="auto"/>
          </w:tcPr>
          <w:p w14:paraId="1B507D28" w14:textId="427A1F37" w:rsidR="00407D0A" w:rsidRDefault="00407D0A" w:rsidP="00407D0A">
            <w:pPr>
              <w:jc w:val="left"/>
              <w:rPr>
                <w:sz w:val="17"/>
                <w:szCs w:val="17"/>
              </w:rPr>
            </w:pPr>
            <w:r w:rsidRPr="00166D67">
              <w:rPr>
                <w:sz w:val="17"/>
                <w:szCs w:val="17"/>
              </w:rPr>
              <w:t>All Regulated Financial Services Providers</w:t>
            </w:r>
          </w:p>
        </w:tc>
        <w:tc>
          <w:tcPr>
            <w:tcW w:w="5523" w:type="dxa"/>
            <w:shd w:val="clear" w:color="auto" w:fill="auto"/>
          </w:tcPr>
          <w:p w14:paraId="79DE2186" w14:textId="56668E1E" w:rsidR="00407D0A" w:rsidRDefault="00407D0A" w:rsidP="00407D0A">
            <w:pPr>
              <w:jc w:val="left"/>
              <w:rPr>
                <w:sz w:val="17"/>
                <w:szCs w:val="17"/>
              </w:rPr>
            </w:pPr>
            <w:r>
              <w:rPr>
                <w:sz w:val="17"/>
                <w:szCs w:val="17"/>
              </w:rPr>
              <w:t xml:space="preserve">On 4 December 2020, the Chair of the Supervisory Board of the ECB, Andrea </w:t>
            </w:r>
            <w:proofErr w:type="spellStart"/>
            <w:r>
              <w:rPr>
                <w:sz w:val="17"/>
                <w:szCs w:val="17"/>
              </w:rPr>
              <w:t>Enria</w:t>
            </w:r>
            <w:proofErr w:type="spellEnd"/>
            <w:r>
              <w:rPr>
                <w:sz w:val="17"/>
                <w:szCs w:val="17"/>
              </w:rPr>
              <w:t xml:space="preserve">, wrote to an MEP on the subject of ECB's recommendation on dividend distributions during the pandemic. Mr </w:t>
            </w:r>
            <w:proofErr w:type="spellStart"/>
            <w:r>
              <w:rPr>
                <w:sz w:val="17"/>
                <w:szCs w:val="17"/>
              </w:rPr>
              <w:t>Enria</w:t>
            </w:r>
            <w:proofErr w:type="spellEnd"/>
            <w:r>
              <w:rPr>
                <w:sz w:val="17"/>
                <w:szCs w:val="17"/>
              </w:rPr>
              <w:t xml:space="preserve"> explains why the ECB has decided to extend its recommendation to refrain from paying dividends; explains what follow up actions are taken to ensure compliance with such recommendations; and explains how ensuring financial stability is central to any recommendations made by the ECB.  </w:t>
            </w:r>
          </w:p>
        </w:tc>
      </w:tr>
      <w:tr w:rsidR="00407D0A" w:rsidRPr="00166D67" w14:paraId="26931F82" w14:textId="77777777" w:rsidTr="009B7981">
        <w:trPr>
          <w:cantSplit/>
        </w:trPr>
        <w:tc>
          <w:tcPr>
            <w:tcW w:w="1097" w:type="dxa"/>
            <w:shd w:val="clear" w:color="auto" w:fill="auto"/>
          </w:tcPr>
          <w:p w14:paraId="013809CA" w14:textId="7CBE65AE" w:rsidR="00407D0A" w:rsidRDefault="00407D0A" w:rsidP="00407D0A">
            <w:pPr>
              <w:jc w:val="left"/>
              <w:rPr>
                <w:b/>
                <w:sz w:val="17"/>
                <w:szCs w:val="17"/>
              </w:rPr>
            </w:pPr>
            <w:r>
              <w:rPr>
                <w:b/>
                <w:sz w:val="17"/>
                <w:szCs w:val="17"/>
              </w:rPr>
              <w:t>4 December 2020</w:t>
            </w:r>
          </w:p>
        </w:tc>
        <w:tc>
          <w:tcPr>
            <w:tcW w:w="1880" w:type="dxa"/>
            <w:shd w:val="clear" w:color="auto" w:fill="auto"/>
          </w:tcPr>
          <w:p w14:paraId="5DDC4940" w14:textId="4F531754" w:rsidR="00407D0A" w:rsidRPr="00430413" w:rsidRDefault="00A324C3" w:rsidP="00407D0A">
            <w:pPr>
              <w:jc w:val="left"/>
              <w:rPr>
                <w:sz w:val="17"/>
                <w:szCs w:val="17"/>
              </w:rPr>
            </w:pPr>
            <w:hyperlink r:id="rId198" w:history="1">
              <w:r w:rsidR="00407D0A" w:rsidRPr="00430413">
                <w:rPr>
                  <w:rStyle w:val="Hyperlink"/>
                  <w:sz w:val="17"/>
                  <w:szCs w:val="17"/>
                </w:rPr>
                <w:t xml:space="preserve">Letter from Andrea </w:t>
              </w:r>
              <w:proofErr w:type="spellStart"/>
              <w:r w:rsidR="00407D0A" w:rsidRPr="00430413">
                <w:rPr>
                  <w:rStyle w:val="Hyperlink"/>
                  <w:sz w:val="17"/>
                  <w:szCs w:val="17"/>
                </w:rPr>
                <w:t>Enria</w:t>
              </w:r>
              <w:proofErr w:type="spellEnd"/>
              <w:r w:rsidR="00407D0A" w:rsidRPr="00430413">
                <w:rPr>
                  <w:rStyle w:val="Hyperlink"/>
                  <w:sz w:val="17"/>
                  <w:szCs w:val="17"/>
                </w:rPr>
                <w:t xml:space="preserve">, Chair of the Supervisory Board, to Mr </w:t>
              </w:r>
              <w:proofErr w:type="spellStart"/>
              <w:r w:rsidR="00407D0A" w:rsidRPr="00430413">
                <w:rPr>
                  <w:rStyle w:val="Hyperlink"/>
                  <w:sz w:val="17"/>
                  <w:szCs w:val="17"/>
                </w:rPr>
                <w:t>Zanni</w:t>
              </w:r>
              <w:proofErr w:type="spellEnd"/>
              <w:r w:rsidR="00407D0A" w:rsidRPr="00430413">
                <w:rPr>
                  <w:rStyle w:val="Hyperlink"/>
                  <w:sz w:val="17"/>
                  <w:szCs w:val="17"/>
                </w:rPr>
                <w:t>, Ms Donato, Mr Grant and Mr Rinaldi, on non-performing loans</w:t>
              </w:r>
            </w:hyperlink>
          </w:p>
        </w:tc>
        <w:tc>
          <w:tcPr>
            <w:tcW w:w="1819" w:type="dxa"/>
            <w:shd w:val="clear" w:color="auto" w:fill="auto"/>
          </w:tcPr>
          <w:p w14:paraId="66F2F5EE" w14:textId="77777777" w:rsidR="00407D0A" w:rsidRPr="00166D67" w:rsidRDefault="00407D0A" w:rsidP="00407D0A">
            <w:pPr>
              <w:jc w:val="left"/>
              <w:rPr>
                <w:sz w:val="17"/>
                <w:szCs w:val="17"/>
              </w:rPr>
            </w:pPr>
          </w:p>
        </w:tc>
        <w:tc>
          <w:tcPr>
            <w:tcW w:w="2155" w:type="dxa"/>
            <w:shd w:val="clear" w:color="auto" w:fill="auto"/>
          </w:tcPr>
          <w:p w14:paraId="11D1A8D2" w14:textId="1A199FF0" w:rsidR="00407D0A" w:rsidRDefault="00407D0A" w:rsidP="00407D0A">
            <w:pPr>
              <w:jc w:val="left"/>
              <w:rPr>
                <w:sz w:val="17"/>
                <w:szCs w:val="17"/>
              </w:rPr>
            </w:pPr>
            <w:r w:rsidRPr="00166D67">
              <w:rPr>
                <w:sz w:val="17"/>
                <w:szCs w:val="17"/>
              </w:rPr>
              <w:t>All Regulated Financial Services Providers</w:t>
            </w:r>
          </w:p>
        </w:tc>
        <w:tc>
          <w:tcPr>
            <w:tcW w:w="5523" w:type="dxa"/>
            <w:shd w:val="clear" w:color="auto" w:fill="auto"/>
          </w:tcPr>
          <w:p w14:paraId="33462F58" w14:textId="0C27C314" w:rsidR="00407D0A" w:rsidRDefault="00407D0A" w:rsidP="00407D0A">
            <w:pPr>
              <w:jc w:val="left"/>
              <w:rPr>
                <w:sz w:val="17"/>
                <w:szCs w:val="17"/>
              </w:rPr>
            </w:pPr>
            <w:r>
              <w:rPr>
                <w:sz w:val="17"/>
                <w:szCs w:val="17"/>
              </w:rPr>
              <w:t xml:space="preserve">On 4 December 2020, the Chair of the Supervisory Board of the ECB, Andrea </w:t>
            </w:r>
            <w:proofErr w:type="spellStart"/>
            <w:r>
              <w:rPr>
                <w:sz w:val="17"/>
                <w:szCs w:val="17"/>
              </w:rPr>
              <w:t>Enria</w:t>
            </w:r>
            <w:proofErr w:type="spellEnd"/>
            <w:r>
              <w:rPr>
                <w:sz w:val="17"/>
                <w:szCs w:val="17"/>
              </w:rPr>
              <w:t xml:space="preserve">, responded to the MEP's letter on the temporary amendment of the provisioning calendar and the default criteria. Mr </w:t>
            </w:r>
            <w:proofErr w:type="spellStart"/>
            <w:r>
              <w:rPr>
                <w:sz w:val="17"/>
                <w:szCs w:val="17"/>
              </w:rPr>
              <w:t>Enria</w:t>
            </w:r>
            <w:proofErr w:type="spellEnd"/>
            <w:r>
              <w:rPr>
                <w:sz w:val="17"/>
                <w:szCs w:val="17"/>
              </w:rPr>
              <w:t xml:space="preserve"> notes that due to the support measures put in place, the crisis has not led to any noticeable tightening of lending standards and banks have not experienced any material increase in non-performing loans (</w:t>
            </w:r>
            <w:r w:rsidRPr="00C1606C">
              <w:rPr>
                <w:b/>
                <w:sz w:val="17"/>
                <w:szCs w:val="17"/>
              </w:rPr>
              <w:t>NPLs</w:t>
            </w:r>
            <w:r>
              <w:rPr>
                <w:sz w:val="17"/>
                <w:szCs w:val="17"/>
              </w:rPr>
              <w:t xml:space="preserve">). The ECB does not foresee the level of NPL's increasing and the ECB believes that the NPL coverage expectations should not be changed any further. </w:t>
            </w:r>
          </w:p>
        </w:tc>
      </w:tr>
      <w:tr w:rsidR="00407D0A" w:rsidRPr="00166D67" w14:paraId="37F7F713" w14:textId="77777777" w:rsidTr="001C278A">
        <w:trPr>
          <w:cantSplit/>
        </w:trPr>
        <w:tc>
          <w:tcPr>
            <w:tcW w:w="1097" w:type="dxa"/>
            <w:shd w:val="clear" w:color="auto" w:fill="auto"/>
          </w:tcPr>
          <w:p w14:paraId="019F5F16" w14:textId="44D73E78" w:rsidR="00407D0A" w:rsidRDefault="00407D0A" w:rsidP="00407D0A">
            <w:pPr>
              <w:jc w:val="left"/>
              <w:rPr>
                <w:b/>
                <w:sz w:val="17"/>
                <w:szCs w:val="17"/>
              </w:rPr>
            </w:pPr>
            <w:r>
              <w:rPr>
                <w:b/>
                <w:sz w:val="17"/>
                <w:szCs w:val="17"/>
              </w:rPr>
              <w:t>10 December 2020</w:t>
            </w:r>
          </w:p>
        </w:tc>
        <w:tc>
          <w:tcPr>
            <w:tcW w:w="1880" w:type="dxa"/>
            <w:shd w:val="clear" w:color="auto" w:fill="auto"/>
          </w:tcPr>
          <w:p w14:paraId="5A0F914D" w14:textId="44293D04" w:rsidR="00407D0A" w:rsidRPr="00A058C7" w:rsidRDefault="00A324C3" w:rsidP="00407D0A">
            <w:pPr>
              <w:jc w:val="left"/>
              <w:rPr>
                <w:sz w:val="17"/>
                <w:szCs w:val="17"/>
              </w:rPr>
            </w:pPr>
            <w:hyperlink r:id="rId199" w:history="1">
              <w:r w:rsidR="00407D0A" w:rsidRPr="00A058C7">
                <w:rPr>
                  <w:rStyle w:val="Hyperlink"/>
                  <w:sz w:val="17"/>
                  <w:szCs w:val="17"/>
                </w:rPr>
                <w:t>ECB prolongs support via targeted lending operations for banks that lend to the real economy</w:t>
              </w:r>
            </w:hyperlink>
          </w:p>
        </w:tc>
        <w:tc>
          <w:tcPr>
            <w:tcW w:w="1819" w:type="dxa"/>
            <w:shd w:val="clear" w:color="auto" w:fill="auto"/>
          </w:tcPr>
          <w:p w14:paraId="22462DAA" w14:textId="77777777" w:rsidR="00407D0A" w:rsidRPr="00166D67" w:rsidRDefault="00407D0A" w:rsidP="00407D0A">
            <w:pPr>
              <w:jc w:val="left"/>
              <w:rPr>
                <w:sz w:val="17"/>
                <w:szCs w:val="17"/>
              </w:rPr>
            </w:pPr>
          </w:p>
        </w:tc>
        <w:tc>
          <w:tcPr>
            <w:tcW w:w="2155" w:type="dxa"/>
            <w:shd w:val="clear" w:color="auto" w:fill="auto"/>
          </w:tcPr>
          <w:p w14:paraId="795286E8" w14:textId="7BC9E2F0" w:rsidR="00407D0A" w:rsidRPr="00166D67" w:rsidRDefault="00407D0A" w:rsidP="00407D0A">
            <w:pPr>
              <w:jc w:val="left"/>
              <w:rPr>
                <w:sz w:val="17"/>
                <w:szCs w:val="17"/>
              </w:rPr>
            </w:pPr>
            <w:r w:rsidRPr="00166D67">
              <w:rPr>
                <w:sz w:val="17"/>
                <w:szCs w:val="17"/>
              </w:rPr>
              <w:t>All Regulated Financial Services Providers</w:t>
            </w:r>
          </w:p>
        </w:tc>
        <w:tc>
          <w:tcPr>
            <w:tcW w:w="5523" w:type="dxa"/>
            <w:shd w:val="clear" w:color="auto" w:fill="auto"/>
          </w:tcPr>
          <w:p w14:paraId="6E0E5C4D" w14:textId="0E4A3105" w:rsidR="00407D0A" w:rsidRDefault="00407D0A" w:rsidP="00407D0A">
            <w:pPr>
              <w:jc w:val="left"/>
              <w:rPr>
                <w:sz w:val="17"/>
                <w:szCs w:val="17"/>
              </w:rPr>
            </w:pPr>
            <w:r>
              <w:rPr>
                <w:sz w:val="17"/>
                <w:szCs w:val="17"/>
              </w:rPr>
              <w:t>On 10 December 2002, the ECB announced its decision on the modifications to the terms and conditions of the 3</w:t>
            </w:r>
            <w:r w:rsidRPr="00EB6969">
              <w:rPr>
                <w:sz w:val="17"/>
                <w:szCs w:val="17"/>
                <w:vertAlign w:val="superscript"/>
              </w:rPr>
              <w:t>rd</w:t>
            </w:r>
            <w:r>
              <w:rPr>
                <w:sz w:val="17"/>
                <w:szCs w:val="17"/>
              </w:rPr>
              <w:t xml:space="preserve"> series of targeted longer-term refinancing operations (TLTRO III): </w:t>
            </w:r>
            <w:proofErr w:type="spellStart"/>
            <w:r>
              <w:rPr>
                <w:sz w:val="17"/>
                <w:szCs w:val="17"/>
              </w:rPr>
              <w:t>i</w:t>
            </w:r>
            <w:proofErr w:type="spellEnd"/>
            <w:r>
              <w:rPr>
                <w:sz w:val="17"/>
                <w:szCs w:val="17"/>
              </w:rPr>
              <w:t>) for banks that lend to the real economy, there will be an extension of 12 months to June 2022 to the period of favourable interest rates; ii) t</w:t>
            </w:r>
            <w:r w:rsidRPr="00EB6969">
              <w:rPr>
                <w:sz w:val="17"/>
                <w:szCs w:val="17"/>
              </w:rPr>
              <w:t>hree new TLTRO III operations with a maturity of three years will be allotted in Ju</w:t>
            </w:r>
            <w:r>
              <w:rPr>
                <w:sz w:val="17"/>
                <w:szCs w:val="17"/>
              </w:rPr>
              <w:t>ne, September and December 2021; and iii) t</w:t>
            </w:r>
            <w:r w:rsidRPr="00EB6969">
              <w:rPr>
                <w:sz w:val="17"/>
                <w:szCs w:val="17"/>
              </w:rPr>
              <w:t xml:space="preserve">he maximum amount that counterparties will be entitled to borrow is raised from 50% to 55% </w:t>
            </w:r>
            <w:r>
              <w:rPr>
                <w:sz w:val="17"/>
                <w:szCs w:val="17"/>
              </w:rPr>
              <w:t>of eligible loans.</w:t>
            </w:r>
          </w:p>
        </w:tc>
      </w:tr>
      <w:tr w:rsidR="00407D0A" w:rsidRPr="00166D67" w14:paraId="0EBDB665" w14:textId="77777777" w:rsidTr="001C278A">
        <w:trPr>
          <w:cantSplit/>
        </w:trPr>
        <w:tc>
          <w:tcPr>
            <w:tcW w:w="1097" w:type="dxa"/>
            <w:shd w:val="clear" w:color="auto" w:fill="auto"/>
          </w:tcPr>
          <w:p w14:paraId="0390368F" w14:textId="1ECE150C" w:rsidR="00407D0A" w:rsidRDefault="00407D0A" w:rsidP="00407D0A">
            <w:pPr>
              <w:jc w:val="left"/>
              <w:rPr>
                <w:b/>
                <w:sz w:val="17"/>
                <w:szCs w:val="17"/>
              </w:rPr>
            </w:pPr>
            <w:r>
              <w:rPr>
                <w:b/>
                <w:sz w:val="17"/>
                <w:szCs w:val="17"/>
              </w:rPr>
              <w:t>10 December 2020</w:t>
            </w:r>
          </w:p>
        </w:tc>
        <w:tc>
          <w:tcPr>
            <w:tcW w:w="1880" w:type="dxa"/>
            <w:shd w:val="clear" w:color="auto" w:fill="auto"/>
          </w:tcPr>
          <w:p w14:paraId="4E89B562" w14:textId="65B417A4" w:rsidR="00407D0A" w:rsidRPr="00A058C7" w:rsidRDefault="00A324C3" w:rsidP="00407D0A">
            <w:pPr>
              <w:jc w:val="left"/>
              <w:rPr>
                <w:sz w:val="17"/>
                <w:szCs w:val="17"/>
              </w:rPr>
            </w:pPr>
            <w:hyperlink r:id="rId200" w:history="1">
              <w:r w:rsidR="00407D0A" w:rsidRPr="00A058C7">
                <w:rPr>
                  <w:rStyle w:val="Hyperlink"/>
                  <w:sz w:val="17"/>
                  <w:szCs w:val="17"/>
                </w:rPr>
                <w:t>ECB extends pandemic emergency longer-term refinancing operations</w:t>
              </w:r>
            </w:hyperlink>
          </w:p>
        </w:tc>
        <w:tc>
          <w:tcPr>
            <w:tcW w:w="1819" w:type="dxa"/>
            <w:shd w:val="clear" w:color="auto" w:fill="auto"/>
          </w:tcPr>
          <w:p w14:paraId="14005B9A" w14:textId="77777777" w:rsidR="00407D0A" w:rsidRPr="00166D67" w:rsidRDefault="00407D0A" w:rsidP="00407D0A">
            <w:pPr>
              <w:jc w:val="left"/>
              <w:rPr>
                <w:sz w:val="17"/>
                <w:szCs w:val="17"/>
              </w:rPr>
            </w:pPr>
          </w:p>
        </w:tc>
        <w:tc>
          <w:tcPr>
            <w:tcW w:w="2155" w:type="dxa"/>
            <w:shd w:val="clear" w:color="auto" w:fill="auto"/>
          </w:tcPr>
          <w:p w14:paraId="6CC6E51B" w14:textId="0B141524" w:rsidR="00407D0A" w:rsidRPr="00166D67" w:rsidRDefault="00407D0A" w:rsidP="00407D0A">
            <w:pPr>
              <w:jc w:val="left"/>
              <w:rPr>
                <w:sz w:val="17"/>
                <w:szCs w:val="17"/>
              </w:rPr>
            </w:pPr>
            <w:r w:rsidRPr="00166D67">
              <w:rPr>
                <w:sz w:val="17"/>
                <w:szCs w:val="17"/>
              </w:rPr>
              <w:t>All Regulated Financial Services Providers</w:t>
            </w:r>
          </w:p>
        </w:tc>
        <w:tc>
          <w:tcPr>
            <w:tcW w:w="5523" w:type="dxa"/>
            <w:shd w:val="clear" w:color="auto" w:fill="auto"/>
          </w:tcPr>
          <w:p w14:paraId="2550258F" w14:textId="26ECFC03" w:rsidR="00407D0A" w:rsidRDefault="00407D0A" w:rsidP="00407D0A">
            <w:pPr>
              <w:jc w:val="left"/>
              <w:rPr>
                <w:sz w:val="17"/>
                <w:szCs w:val="17"/>
              </w:rPr>
            </w:pPr>
            <w:r>
              <w:rPr>
                <w:sz w:val="17"/>
                <w:szCs w:val="17"/>
              </w:rPr>
              <w:t xml:space="preserve">On 10 December 2020, the ECB announced its decision to offer four additional pandemic emergency longer-term refinancing operations (PELTROs) on a quarterly basis during 2021, each with a tenor of one year. These additional supports are intended to preserve the smooth functioning of the money market during the extended pandemic period. </w:t>
            </w:r>
          </w:p>
        </w:tc>
      </w:tr>
      <w:tr w:rsidR="00407D0A" w:rsidRPr="00166D67" w14:paraId="681B31F1" w14:textId="77777777" w:rsidTr="001C278A">
        <w:trPr>
          <w:cantSplit/>
        </w:trPr>
        <w:tc>
          <w:tcPr>
            <w:tcW w:w="1097" w:type="dxa"/>
            <w:shd w:val="clear" w:color="auto" w:fill="auto"/>
          </w:tcPr>
          <w:p w14:paraId="69CEE779" w14:textId="630A2F26" w:rsidR="00407D0A" w:rsidRPr="001C278A" w:rsidRDefault="00407D0A" w:rsidP="00407D0A">
            <w:pPr>
              <w:jc w:val="left"/>
              <w:rPr>
                <w:b/>
                <w:sz w:val="17"/>
                <w:szCs w:val="17"/>
              </w:rPr>
            </w:pPr>
            <w:r w:rsidRPr="001C278A">
              <w:rPr>
                <w:b/>
                <w:sz w:val="17"/>
                <w:szCs w:val="17"/>
              </w:rPr>
              <w:t>10 December 2020</w:t>
            </w:r>
          </w:p>
        </w:tc>
        <w:tc>
          <w:tcPr>
            <w:tcW w:w="1880" w:type="dxa"/>
            <w:shd w:val="clear" w:color="auto" w:fill="auto"/>
          </w:tcPr>
          <w:p w14:paraId="4192FD46" w14:textId="2C0230E5" w:rsidR="00407D0A" w:rsidRPr="001C278A" w:rsidRDefault="00A324C3" w:rsidP="00407D0A">
            <w:pPr>
              <w:jc w:val="left"/>
              <w:rPr>
                <w:sz w:val="17"/>
                <w:szCs w:val="17"/>
              </w:rPr>
            </w:pPr>
            <w:hyperlink r:id="rId201" w:history="1">
              <w:r w:rsidR="00407D0A" w:rsidRPr="001C278A">
                <w:rPr>
                  <w:rStyle w:val="Hyperlink"/>
                  <w:sz w:val="17"/>
                  <w:szCs w:val="17"/>
                </w:rPr>
                <w:t>Monetary policy decisions</w:t>
              </w:r>
            </w:hyperlink>
          </w:p>
        </w:tc>
        <w:tc>
          <w:tcPr>
            <w:tcW w:w="1819" w:type="dxa"/>
            <w:shd w:val="clear" w:color="auto" w:fill="auto"/>
          </w:tcPr>
          <w:p w14:paraId="3F0B4AFC" w14:textId="77777777" w:rsidR="00407D0A" w:rsidRPr="001C278A" w:rsidRDefault="00407D0A" w:rsidP="00407D0A">
            <w:pPr>
              <w:jc w:val="left"/>
              <w:rPr>
                <w:sz w:val="17"/>
                <w:szCs w:val="17"/>
              </w:rPr>
            </w:pPr>
          </w:p>
        </w:tc>
        <w:tc>
          <w:tcPr>
            <w:tcW w:w="2155" w:type="dxa"/>
            <w:shd w:val="clear" w:color="auto" w:fill="auto"/>
          </w:tcPr>
          <w:p w14:paraId="2F48763F" w14:textId="1C7BB49C" w:rsidR="00407D0A" w:rsidRPr="001C278A" w:rsidRDefault="00407D0A" w:rsidP="00407D0A">
            <w:pPr>
              <w:jc w:val="left"/>
              <w:rPr>
                <w:sz w:val="17"/>
                <w:szCs w:val="17"/>
              </w:rPr>
            </w:pPr>
            <w:r w:rsidRPr="001C278A">
              <w:rPr>
                <w:sz w:val="17"/>
                <w:szCs w:val="17"/>
              </w:rPr>
              <w:t>All Regulated Financial Services Providers</w:t>
            </w:r>
          </w:p>
        </w:tc>
        <w:tc>
          <w:tcPr>
            <w:tcW w:w="5523" w:type="dxa"/>
            <w:shd w:val="clear" w:color="auto" w:fill="auto"/>
          </w:tcPr>
          <w:p w14:paraId="558E2717" w14:textId="77777777" w:rsidR="00407D0A" w:rsidRPr="001C278A" w:rsidRDefault="00407D0A" w:rsidP="00407D0A">
            <w:pPr>
              <w:jc w:val="left"/>
              <w:rPr>
                <w:sz w:val="17"/>
                <w:szCs w:val="17"/>
              </w:rPr>
            </w:pPr>
            <w:r w:rsidRPr="001C278A">
              <w:rPr>
                <w:sz w:val="17"/>
                <w:szCs w:val="17"/>
              </w:rPr>
              <w:t xml:space="preserve">On 10 December 2020, the ECB recalibrated its monetary policy instruments as follows: </w:t>
            </w:r>
          </w:p>
          <w:p w14:paraId="3589FCCA" w14:textId="77777777" w:rsidR="00407D0A" w:rsidRPr="001C278A" w:rsidRDefault="00407D0A" w:rsidP="00407D0A">
            <w:pPr>
              <w:pStyle w:val="ListParagraph"/>
              <w:numPr>
                <w:ilvl w:val="0"/>
                <w:numId w:val="26"/>
              </w:numPr>
              <w:jc w:val="left"/>
              <w:rPr>
                <w:sz w:val="17"/>
                <w:szCs w:val="17"/>
              </w:rPr>
            </w:pPr>
            <w:r w:rsidRPr="001C278A">
              <w:rPr>
                <w:sz w:val="17"/>
                <w:szCs w:val="17"/>
              </w:rPr>
              <w:t>The interest rates on the main financing operations and the marginal lending facility and deposit facility will remain unchanged;</w:t>
            </w:r>
          </w:p>
          <w:p w14:paraId="2C5C5D67" w14:textId="77777777" w:rsidR="00407D0A" w:rsidRPr="001C278A" w:rsidRDefault="00407D0A" w:rsidP="00407D0A">
            <w:pPr>
              <w:pStyle w:val="ListParagraph"/>
              <w:numPr>
                <w:ilvl w:val="0"/>
                <w:numId w:val="26"/>
              </w:numPr>
              <w:jc w:val="left"/>
              <w:rPr>
                <w:sz w:val="17"/>
                <w:szCs w:val="17"/>
              </w:rPr>
            </w:pPr>
            <w:r w:rsidRPr="001C278A">
              <w:rPr>
                <w:sz w:val="17"/>
                <w:szCs w:val="17"/>
              </w:rPr>
              <w:t xml:space="preserve">The envelope of the pandemic emergency purchase programme will be increased to €1,850 billion; </w:t>
            </w:r>
          </w:p>
          <w:p w14:paraId="5B2D7612" w14:textId="77777777" w:rsidR="00407D0A" w:rsidRPr="001C278A" w:rsidRDefault="00407D0A" w:rsidP="00407D0A">
            <w:pPr>
              <w:pStyle w:val="ListParagraph"/>
              <w:numPr>
                <w:ilvl w:val="0"/>
                <w:numId w:val="26"/>
              </w:numPr>
              <w:jc w:val="left"/>
              <w:rPr>
                <w:sz w:val="17"/>
                <w:szCs w:val="17"/>
              </w:rPr>
            </w:pPr>
            <w:r w:rsidRPr="001C278A">
              <w:rPr>
                <w:sz w:val="17"/>
                <w:szCs w:val="17"/>
              </w:rPr>
              <w:t>The conditions of the 3</w:t>
            </w:r>
            <w:r w:rsidRPr="001C278A">
              <w:rPr>
                <w:sz w:val="17"/>
                <w:szCs w:val="17"/>
                <w:vertAlign w:val="superscript"/>
              </w:rPr>
              <w:t>rd</w:t>
            </w:r>
            <w:r w:rsidRPr="001C278A">
              <w:rPr>
                <w:sz w:val="17"/>
                <w:szCs w:val="17"/>
              </w:rPr>
              <w:t xml:space="preserve"> series of targeted longer-term refinancing operations (TLTRO III) will be further recalibrated;</w:t>
            </w:r>
          </w:p>
          <w:p w14:paraId="3844D044" w14:textId="77777777" w:rsidR="00407D0A" w:rsidRPr="001C278A" w:rsidRDefault="00407D0A" w:rsidP="00407D0A">
            <w:pPr>
              <w:pStyle w:val="ListParagraph"/>
              <w:numPr>
                <w:ilvl w:val="0"/>
                <w:numId w:val="26"/>
              </w:numPr>
              <w:jc w:val="left"/>
              <w:rPr>
                <w:sz w:val="17"/>
                <w:szCs w:val="17"/>
              </w:rPr>
            </w:pPr>
            <w:r w:rsidRPr="001C278A">
              <w:rPr>
                <w:sz w:val="17"/>
                <w:szCs w:val="17"/>
              </w:rPr>
              <w:t>The duration of the set of collateral easing measures on 7 and 22 April 2020 have been extended to June 2022;</w:t>
            </w:r>
          </w:p>
          <w:p w14:paraId="158E2212" w14:textId="77777777" w:rsidR="00407D0A" w:rsidRPr="001C278A" w:rsidRDefault="00407D0A" w:rsidP="00407D0A">
            <w:pPr>
              <w:pStyle w:val="ListParagraph"/>
              <w:numPr>
                <w:ilvl w:val="0"/>
                <w:numId w:val="26"/>
              </w:numPr>
              <w:jc w:val="left"/>
              <w:rPr>
                <w:sz w:val="17"/>
                <w:szCs w:val="17"/>
              </w:rPr>
            </w:pPr>
            <w:r w:rsidRPr="001C278A">
              <w:rPr>
                <w:sz w:val="17"/>
                <w:szCs w:val="17"/>
              </w:rPr>
              <w:t xml:space="preserve">Four additional pandemic emergency longer-term refinancing operations (PELTROs) are being offered in 2021; </w:t>
            </w:r>
          </w:p>
          <w:p w14:paraId="319C459D" w14:textId="53DD5429" w:rsidR="00407D0A" w:rsidRPr="001C278A" w:rsidRDefault="00407D0A" w:rsidP="00407D0A">
            <w:pPr>
              <w:pStyle w:val="ListParagraph"/>
              <w:numPr>
                <w:ilvl w:val="0"/>
                <w:numId w:val="26"/>
              </w:numPr>
              <w:jc w:val="left"/>
              <w:rPr>
                <w:sz w:val="17"/>
                <w:szCs w:val="17"/>
              </w:rPr>
            </w:pPr>
            <w:r w:rsidRPr="001C278A">
              <w:rPr>
                <w:sz w:val="17"/>
                <w:szCs w:val="17"/>
              </w:rPr>
              <w:t xml:space="preserve">Net purchases under the asset purchase programme (APP) will continue at a monthly pace of €20 billion; </w:t>
            </w:r>
          </w:p>
          <w:p w14:paraId="55549096" w14:textId="603AF50E" w:rsidR="00407D0A" w:rsidRPr="001C278A" w:rsidRDefault="00407D0A" w:rsidP="00407D0A">
            <w:pPr>
              <w:pStyle w:val="ListParagraph"/>
              <w:numPr>
                <w:ilvl w:val="0"/>
                <w:numId w:val="26"/>
              </w:numPr>
              <w:jc w:val="left"/>
              <w:rPr>
                <w:sz w:val="17"/>
                <w:szCs w:val="17"/>
              </w:rPr>
            </w:pPr>
            <w:r w:rsidRPr="001C278A">
              <w:rPr>
                <w:sz w:val="17"/>
                <w:szCs w:val="17"/>
              </w:rPr>
              <w:t xml:space="preserve">The </w:t>
            </w:r>
            <w:proofErr w:type="spellStart"/>
            <w:r w:rsidRPr="001C278A">
              <w:rPr>
                <w:sz w:val="17"/>
                <w:szCs w:val="17"/>
              </w:rPr>
              <w:t>Eurosystem</w:t>
            </w:r>
            <w:proofErr w:type="spellEnd"/>
            <w:r w:rsidRPr="001C278A">
              <w:rPr>
                <w:sz w:val="17"/>
                <w:szCs w:val="17"/>
              </w:rPr>
              <w:t xml:space="preserve"> repo facility for central banks (EUREP) and all temporary swap and repo lines with non-euro area central banks will be extended until March 2022; and </w:t>
            </w:r>
          </w:p>
          <w:p w14:paraId="09ED1A6B" w14:textId="365D51A6" w:rsidR="00407D0A" w:rsidRPr="001C278A" w:rsidRDefault="00407D0A" w:rsidP="00407D0A">
            <w:pPr>
              <w:pStyle w:val="ListParagraph"/>
              <w:numPr>
                <w:ilvl w:val="0"/>
                <w:numId w:val="26"/>
              </w:numPr>
              <w:jc w:val="left"/>
              <w:rPr>
                <w:sz w:val="17"/>
                <w:szCs w:val="17"/>
              </w:rPr>
            </w:pPr>
            <w:r w:rsidRPr="001C278A">
              <w:rPr>
                <w:sz w:val="17"/>
                <w:szCs w:val="17"/>
              </w:rPr>
              <w:t>The ECB will continue conducting its regular lending operations as fixed rate tender procedures with full allotment at the prevailing conditions for as long as necessary.</w:t>
            </w:r>
          </w:p>
        </w:tc>
      </w:tr>
      <w:tr w:rsidR="00407D0A" w:rsidRPr="00166D67" w14:paraId="3C979B8E" w14:textId="77777777" w:rsidTr="001C278A">
        <w:trPr>
          <w:cantSplit/>
        </w:trPr>
        <w:tc>
          <w:tcPr>
            <w:tcW w:w="1097" w:type="dxa"/>
            <w:shd w:val="clear" w:color="auto" w:fill="auto"/>
          </w:tcPr>
          <w:p w14:paraId="2B6C4D39" w14:textId="70EC198C" w:rsidR="00407D0A" w:rsidRPr="001C278A" w:rsidRDefault="00407D0A" w:rsidP="00407D0A">
            <w:pPr>
              <w:jc w:val="left"/>
              <w:rPr>
                <w:b/>
                <w:sz w:val="17"/>
                <w:szCs w:val="17"/>
              </w:rPr>
            </w:pPr>
            <w:r w:rsidRPr="001C278A">
              <w:rPr>
                <w:b/>
                <w:sz w:val="17"/>
                <w:szCs w:val="17"/>
              </w:rPr>
              <w:t>15 December 2020</w:t>
            </w:r>
          </w:p>
        </w:tc>
        <w:tc>
          <w:tcPr>
            <w:tcW w:w="1880" w:type="dxa"/>
            <w:shd w:val="clear" w:color="auto" w:fill="auto"/>
          </w:tcPr>
          <w:p w14:paraId="74DB4D35" w14:textId="26010F03" w:rsidR="00407D0A" w:rsidRPr="001C278A" w:rsidRDefault="00A324C3" w:rsidP="00407D0A">
            <w:pPr>
              <w:jc w:val="left"/>
            </w:pPr>
            <w:hyperlink r:id="rId202" w:history="1">
              <w:r w:rsidR="00407D0A" w:rsidRPr="001C278A">
                <w:rPr>
                  <w:rStyle w:val="Hyperlink"/>
                  <w:sz w:val="17"/>
                  <w:szCs w:val="17"/>
                </w:rPr>
                <w:t>FAQs on ECB Supervisory measures in reaction to the coronavirus</w:t>
              </w:r>
            </w:hyperlink>
          </w:p>
        </w:tc>
        <w:tc>
          <w:tcPr>
            <w:tcW w:w="1819" w:type="dxa"/>
            <w:shd w:val="clear" w:color="auto" w:fill="auto"/>
          </w:tcPr>
          <w:p w14:paraId="1C2DF1BA" w14:textId="77777777" w:rsidR="00407D0A" w:rsidRPr="001C278A" w:rsidRDefault="00407D0A" w:rsidP="00407D0A">
            <w:pPr>
              <w:jc w:val="left"/>
              <w:rPr>
                <w:sz w:val="17"/>
                <w:szCs w:val="17"/>
              </w:rPr>
            </w:pPr>
          </w:p>
        </w:tc>
        <w:tc>
          <w:tcPr>
            <w:tcW w:w="2155" w:type="dxa"/>
            <w:shd w:val="clear" w:color="auto" w:fill="auto"/>
          </w:tcPr>
          <w:p w14:paraId="299F2FA2" w14:textId="16CAC53E" w:rsidR="00407D0A" w:rsidRPr="001C278A" w:rsidRDefault="00407D0A" w:rsidP="00407D0A">
            <w:pPr>
              <w:jc w:val="left"/>
              <w:rPr>
                <w:sz w:val="17"/>
                <w:szCs w:val="17"/>
              </w:rPr>
            </w:pPr>
            <w:r w:rsidRPr="001C278A">
              <w:rPr>
                <w:sz w:val="17"/>
                <w:szCs w:val="17"/>
              </w:rPr>
              <w:t>All Regulated Financial Services Providers</w:t>
            </w:r>
          </w:p>
        </w:tc>
        <w:tc>
          <w:tcPr>
            <w:tcW w:w="5523" w:type="dxa"/>
            <w:shd w:val="clear" w:color="auto" w:fill="auto"/>
          </w:tcPr>
          <w:p w14:paraId="5AF32321" w14:textId="76AEB5A5" w:rsidR="00407D0A" w:rsidRPr="001C278A" w:rsidRDefault="00407D0A" w:rsidP="00407D0A">
            <w:pPr>
              <w:jc w:val="left"/>
              <w:rPr>
                <w:sz w:val="17"/>
                <w:szCs w:val="17"/>
              </w:rPr>
            </w:pPr>
            <w:r w:rsidRPr="001C278A">
              <w:rPr>
                <w:sz w:val="17"/>
                <w:szCs w:val="17"/>
              </w:rPr>
              <w:t xml:space="preserve">On 15 December 2020, the ECB updated is FAQs on the ECB Supervisory measures in reaction to the coronavirus. In particular, the ECB has updated Section 4 which deals with FAQs on restrictions on dividends and variable remuneration. </w:t>
            </w:r>
          </w:p>
        </w:tc>
      </w:tr>
      <w:tr w:rsidR="00407D0A" w:rsidRPr="00166D67" w14:paraId="51FFDC04" w14:textId="77777777" w:rsidTr="001C278A">
        <w:trPr>
          <w:cantSplit/>
        </w:trPr>
        <w:tc>
          <w:tcPr>
            <w:tcW w:w="1097" w:type="dxa"/>
            <w:shd w:val="clear" w:color="auto" w:fill="auto"/>
          </w:tcPr>
          <w:p w14:paraId="228C6B6E" w14:textId="294D3233" w:rsidR="00407D0A" w:rsidRPr="001C278A" w:rsidRDefault="00407D0A" w:rsidP="00407D0A">
            <w:pPr>
              <w:jc w:val="left"/>
              <w:rPr>
                <w:b/>
                <w:sz w:val="17"/>
                <w:szCs w:val="17"/>
              </w:rPr>
            </w:pPr>
            <w:r w:rsidRPr="001C278A">
              <w:rPr>
                <w:b/>
                <w:sz w:val="17"/>
                <w:szCs w:val="17"/>
              </w:rPr>
              <w:t>15 December 2020</w:t>
            </w:r>
          </w:p>
        </w:tc>
        <w:tc>
          <w:tcPr>
            <w:tcW w:w="1880" w:type="dxa"/>
            <w:shd w:val="clear" w:color="auto" w:fill="auto"/>
          </w:tcPr>
          <w:p w14:paraId="000210D7" w14:textId="12B21BF1" w:rsidR="00407D0A" w:rsidRPr="001C278A" w:rsidRDefault="00A324C3" w:rsidP="00407D0A">
            <w:pPr>
              <w:jc w:val="left"/>
              <w:rPr>
                <w:sz w:val="17"/>
                <w:szCs w:val="17"/>
              </w:rPr>
            </w:pPr>
            <w:hyperlink r:id="rId203" w:history="1">
              <w:r w:rsidR="00407D0A" w:rsidRPr="001C278A">
                <w:rPr>
                  <w:rStyle w:val="Hyperlink"/>
                  <w:sz w:val="17"/>
                  <w:szCs w:val="17"/>
                </w:rPr>
                <w:t>Remuneration policies in the context of the coronavirus (COVID-19) pandemic</w:t>
              </w:r>
            </w:hyperlink>
          </w:p>
        </w:tc>
        <w:tc>
          <w:tcPr>
            <w:tcW w:w="1819" w:type="dxa"/>
            <w:shd w:val="clear" w:color="auto" w:fill="auto"/>
          </w:tcPr>
          <w:p w14:paraId="6A4CAC38" w14:textId="77777777" w:rsidR="00407D0A" w:rsidRPr="001C278A" w:rsidRDefault="00407D0A" w:rsidP="00407D0A">
            <w:pPr>
              <w:jc w:val="left"/>
              <w:rPr>
                <w:sz w:val="17"/>
                <w:szCs w:val="17"/>
              </w:rPr>
            </w:pPr>
          </w:p>
        </w:tc>
        <w:tc>
          <w:tcPr>
            <w:tcW w:w="2155" w:type="dxa"/>
            <w:shd w:val="clear" w:color="auto" w:fill="auto"/>
          </w:tcPr>
          <w:p w14:paraId="1A77CF51" w14:textId="7BFDA83F" w:rsidR="00407D0A" w:rsidRPr="001C278A" w:rsidRDefault="00407D0A" w:rsidP="00407D0A">
            <w:pPr>
              <w:jc w:val="left"/>
              <w:rPr>
                <w:sz w:val="17"/>
                <w:szCs w:val="17"/>
              </w:rPr>
            </w:pPr>
            <w:r w:rsidRPr="001C278A">
              <w:rPr>
                <w:sz w:val="17"/>
                <w:szCs w:val="17"/>
              </w:rPr>
              <w:t>All Regulated Financial Services Providers</w:t>
            </w:r>
          </w:p>
        </w:tc>
        <w:tc>
          <w:tcPr>
            <w:tcW w:w="5523" w:type="dxa"/>
            <w:shd w:val="clear" w:color="auto" w:fill="auto"/>
          </w:tcPr>
          <w:p w14:paraId="01591824" w14:textId="28E145AF" w:rsidR="00407D0A" w:rsidRPr="001C278A" w:rsidRDefault="00407D0A" w:rsidP="00407D0A">
            <w:pPr>
              <w:jc w:val="left"/>
              <w:rPr>
                <w:sz w:val="17"/>
                <w:szCs w:val="17"/>
              </w:rPr>
            </w:pPr>
            <w:r w:rsidRPr="001C278A">
              <w:rPr>
                <w:sz w:val="17"/>
                <w:szCs w:val="17"/>
              </w:rPr>
              <w:t xml:space="preserve">On 15 December 2020, the ECB wrote to the CEOs of all Significant Institutions on the topic of remuneration policies in the context of the coronavirus (COVID-19) pandemic. The ECB reiterated its expectations that credit institutions are to continue to adopt extreme moderation in respect of variable remuneration until 30 September 2021 and, where possible, to limit its variable remuneration. Credit institutions are asked to keep its Joint Supervisory Team informed of any decisions on its remuneration policy. The ECB has noted that these expectations will remain valid until the end of September 2021. It is hoped that by then, the ECB can return to assessing banks' remuneration policies and practices in the context of the normal supervisory cycle. </w:t>
            </w:r>
          </w:p>
        </w:tc>
      </w:tr>
      <w:tr w:rsidR="00407D0A" w:rsidRPr="00166D67" w14:paraId="355596BF" w14:textId="77777777" w:rsidTr="001C278A">
        <w:trPr>
          <w:cantSplit/>
        </w:trPr>
        <w:tc>
          <w:tcPr>
            <w:tcW w:w="1097" w:type="dxa"/>
            <w:shd w:val="clear" w:color="auto" w:fill="auto"/>
          </w:tcPr>
          <w:p w14:paraId="23B7CAAB" w14:textId="7F15C29F" w:rsidR="00407D0A" w:rsidRDefault="00407D0A" w:rsidP="00407D0A">
            <w:pPr>
              <w:jc w:val="left"/>
              <w:rPr>
                <w:b/>
                <w:sz w:val="17"/>
                <w:szCs w:val="17"/>
              </w:rPr>
            </w:pPr>
            <w:r>
              <w:rPr>
                <w:b/>
                <w:sz w:val="17"/>
                <w:szCs w:val="17"/>
              </w:rPr>
              <w:t>15 December 2020</w:t>
            </w:r>
          </w:p>
        </w:tc>
        <w:tc>
          <w:tcPr>
            <w:tcW w:w="1880" w:type="dxa"/>
            <w:shd w:val="clear" w:color="auto" w:fill="auto"/>
          </w:tcPr>
          <w:p w14:paraId="5CE6CE66" w14:textId="1D70E5D5" w:rsidR="00407D0A" w:rsidRDefault="00A324C3" w:rsidP="00407D0A">
            <w:pPr>
              <w:jc w:val="left"/>
              <w:rPr>
                <w:sz w:val="17"/>
                <w:szCs w:val="17"/>
              </w:rPr>
            </w:pPr>
            <w:hyperlink r:id="rId204" w:history="1">
              <w:r w:rsidR="00407D0A" w:rsidRPr="007D1D5F">
                <w:rPr>
                  <w:rStyle w:val="Hyperlink"/>
                  <w:sz w:val="17"/>
                  <w:szCs w:val="17"/>
                </w:rPr>
                <w:t>ECB asks banks to refrain from or limit dividends until September 2021</w:t>
              </w:r>
            </w:hyperlink>
          </w:p>
        </w:tc>
        <w:tc>
          <w:tcPr>
            <w:tcW w:w="1819" w:type="dxa"/>
            <w:shd w:val="clear" w:color="auto" w:fill="auto"/>
          </w:tcPr>
          <w:p w14:paraId="1D88F573" w14:textId="77777777" w:rsidR="00407D0A" w:rsidRPr="00166D67" w:rsidRDefault="00407D0A" w:rsidP="00407D0A">
            <w:pPr>
              <w:jc w:val="left"/>
              <w:rPr>
                <w:sz w:val="17"/>
                <w:szCs w:val="17"/>
              </w:rPr>
            </w:pPr>
          </w:p>
        </w:tc>
        <w:tc>
          <w:tcPr>
            <w:tcW w:w="2155" w:type="dxa"/>
            <w:shd w:val="clear" w:color="auto" w:fill="auto"/>
          </w:tcPr>
          <w:p w14:paraId="2A3D00D0" w14:textId="4E43E56A" w:rsidR="00407D0A" w:rsidRPr="00166D67" w:rsidRDefault="00407D0A" w:rsidP="00407D0A">
            <w:pPr>
              <w:jc w:val="left"/>
              <w:rPr>
                <w:sz w:val="17"/>
                <w:szCs w:val="17"/>
              </w:rPr>
            </w:pPr>
            <w:r>
              <w:rPr>
                <w:sz w:val="17"/>
                <w:szCs w:val="17"/>
              </w:rPr>
              <w:t xml:space="preserve">Credit Institutions and National Competent Authorities. </w:t>
            </w:r>
          </w:p>
        </w:tc>
        <w:tc>
          <w:tcPr>
            <w:tcW w:w="5523" w:type="dxa"/>
            <w:shd w:val="clear" w:color="auto" w:fill="auto"/>
          </w:tcPr>
          <w:p w14:paraId="2C3D1E9A" w14:textId="77777777" w:rsidR="00407D0A" w:rsidRDefault="00407D0A" w:rsidP="00407D0A">
            <w:pPr>
              <w:jc w:val="left"/>
              <w:rPr>
                <w:sz w:val="17"/>
                <w:szCs w:val="17"/>
              </w:rPr>
            </w:pPr>
            <w:r>
              <w:rPr>
                <w:sz w:val="17"/>
                <w:szCs w:val="17"/>
              </w:rPr>
              <w:t xml:space="preserve">In its most recent </w:t>
            </w:r>
            <w:hyperlink r:id="rId205" w:history="1">
              <w:r w:rsidRPr="00370C21">
                <w:rPr>
                  <w:rStyle w:val="Hyperlink"/>
                  <w:sz w:val="17"/>
                  <w:szCs w:val="17"/>
                </w:rPr>
                <w:t>recommendation</w:t>
              </w:r>
            </w:hyperlink>
            <w:r>
              <w:rPr>
                <w:sz w:val="17"/>
                <w:szCs w:val="17"/>
              </w:rPr>
              <w:t xml:space="preserve">, the ECB has advised credit institutions to exercise extreme prudence on dividends and share buy-backs, asking that all credit institutions refrain from or limit such dividends or share buy-backs until 31 September 2021. Credit institutions are advised to contact their joint supervisory teams to discuss any intended dividend pay-outs. </w:t>
            </w:r>
          </w:p>
          <w:p w14:paraId="015502B5" w14:textId="11AB3DEE" w:rsidR="00407D0A" w:rsidRDefault="00407D0A" w:rsidP="00407D0A">
            <w:pPr>
              <w:jc w:val="left"/>
              <w:rPr>
                <w:sz w:val="17"/>
                <w:szCs w:val="17"/>
              </w:rPr>
            </w:pPr>
            <w:r>
              <w:rPr>
                <w:sz w:val="17"/>
                <w:szCs w:val="17"/>
              </w:rPr>
              <w:t xml:space="preserve">The ECB expects dividends and share buy-backs to remain below 15% of the cumulated 2019-2020 profits and not higher than 20 basis points of CET1 ratio, whichever is lower, and has reiterated its expectations in a </w:t>
            </w:r>
            <w:hyperlink r:id="rId206" w:history="1">
              <w:r w:rsidRPr="00AF196E">
                <w:rPr>
                  <w:rStyle w:val="Hyperlink"/>
                  <w:sz w:val="17"/>
                  <w:szCs w:val="17"/>
                </w:rPr>
                <w:t>letter to all credit institutions</w:t>
              </w:r>
            </w:hyperlink>
            <w:r>
              <w:rPr>
                <w:sz w:val="17"/>
                <w:szCs w:val="17"/>
              </w:rPr>
              <w:t xml:space="preserve">. This recommendation remains valid until the end of September 2021 upon which the ECB will reconsider the recommendation following continued evaluations of the economic situation.  </w:t>
            </w:r>
          </w:p>
        </w:tc>
      </w:tr>
      <w:tr w:rsidR="00407D0A" w:rsidRPr="00166D67" w14:paraId="34928F43" w14:textId="77777777" w:rsidTr="001C278A">
        <w:trPr>
          <w:cantSplit/>
        </w:trPr>
        <w:tc>
          <w:tcPr>
            <w:tcW w:w="1097" w:type="dxa"/>
            <w:shd w:val="clear" w:color="auto" w:fill="auto"/>
          </w:tcPr>
          <w:p w14:paraId="00AE9B08" w14:textId="332D8C0D" w:rsidR="00407D0A" w:rsidRPr="000218B2" w:rsidRDefault="00407D0A" w:rsidP="00407D0A">
            <w:pPr>
              <w:jc w:val="left"/>
              <w:rPr>
                <w:b/>
                <w:sz w:val="17"/>
                <w:szCs w:val="17"/>
              </w:rPr>
            </w:pPr>
            <w:r w:rsidRPr="000218B2">
              <w:rPr>
                <w:b/>
                <w:sz w:val="17"/>
                <w:szCs w:val="17"/>
              </w:rPr>
              <w:t>5 January 2021</w:t>
            </w:r>
          </w:p>
        </w:tc>
        <w:tc>
          <w:tcPr>
            <w:tcW w:w="1880" w:type="dxa"/>
            <w:shd w:val="clear" w:color="auto" w:fill="auto"/>
          </w:tcPr>
          <w:p w14:paraId="457E3E60" w14:textId="7562A317" w:rsidR="00407D0A" w:rsidRPr="000218B2" w:rsidRDefault="00A324C3" w:rsidP="00407D0A">
            <w:pPr>
              <w:jc w:val="left"/>
            </w:pPr>
            <w:hyperlink r:id="rId207" w:history="1">
              <w:r w:rsidR="00407D0A" w:rsidRPr="000218B2">
                <w:rPr>
                  <w:rStyle w:val="Hyperlink"/>
                  <w:sz w:val="17"/>
                  <w:szCs w:val="17"/>
                </w:rPr>
                <w:t>Assessing short-term economic developments in times of COVID-19</w:t>
              </w:r>
            </w:hyperlink>
          </w:p>
        </w:tc>
        <w:tc>
          <w:tcPr>
            <w:tcW w:w="1819" w:type="dxa"/>
            <w:shd w:val="clear" w:color="auto" w:fill="auto"/>
          </w:tcPr>
          <w:p w14:paraId="172BB2C2" w14:textId="77777777" w:rsidR="00407D0A" w:rsidRPr="000218B2" w:rsidRDefault="00407D0A" w:rsidP="00407D0A">
            <w:pPr>
              <w:jc w:val="left"/>
              <w:rPr>
                <w:sz w:val="17"/>
                <w:szCs w:val="17"/>
              </w:rPr>
            </w:pPr>
          </w:p>
        </w:tc>
        <w:tc>
          <w:tcPr>
            <w:tcW w:w="2155" w:type="dxa"/>
            <w:shd w:val="clear" w:color="auto" w:fill="auto"/>
          </w:tcPr>
          <w:p w14:paraId="02757F2B" w14:textId="6417976C" w:rsidR="00407D0A" w:rsidRPr="000218B2" w:rsidRDefault="00407D0A" w:rsidP="00407D0A">
            <w:pPr>
              <w:jc w:val="left"/>
              <w:rPr>
                <w:sz w:val="17"/>
                <w:szCs w:val="17"/>
              </w:rPr>
            </w:pPr>
            <w:r w:rsidRPr="000218B2">
              <w:rPr>
                <w:sz w:val="17"/>
                <w:szCs w:val="17"/>
              </w:rPr>
              <w:t>All Regulated Financial Services Providers</w:t>
            </w:r>
          </w:p>
        </w:tc>
        <w:tc>
          <w:tcPr>
            <w:tcW w:w="5523" w:type="dxa"/>
            <w:shd w:val="clear" w:color="auto" w:fill="auto"/>
          </w:tcPr>
          <w:p w14:paraId="781903FD" w14:textId="77777777" w:rsidR="00407D0A" w:rsidRPr="000218B2" w:rsidRDefault="00407D0A" w:rsidP="00407D0A">
            <w:pPr>
              <w:jc w:val="left"/>
              <w:rPr>
                <w:sz w:val="17"/>
                <w:szCs w:val="17"/>
              </w:rPr>
            </w:pPr>
            <w:r w:rsidRPr="000218B2">
              <w:rPr>
                <w:sz w:val="17"/>
                <w:szCs w:val="17"/>
              </w:rPr>
              <w:t>The ECB has published an article assessing the short-term economic developments in times of COVID-19. The article highlights the difficulties that have been encountered in forecasting euro area real GDP growth in real time as a result of the sudden recession triggered by COVID-19. This has called for the use of a revised set of tools. The following approaches have been used to address this issue:</w:t>
            </w:r>
          </w:p>
          <w:p w14:paraId="72BB077B" w14:textId="77777777" w:rsidR="00407D0A" w:rsidRPr="000218B2" w:rsidRDefault="00407D0A" w:rsidP="00407D0A">
            <w:pPr>
              <w:pStyle w:val="ListParagraph"/>
              <w:numPr>
                <w:ilvl w:val="0"/>
                <w:numId w:val="28"/>
              </w:numPr>
              <w:jc w:val="left"/>
              <w:rPr>
                <w:sz w:val="17"/>
                <w:szCs w:val="17"/>
              </w:rPr>
            </w:pPr>
            <w:r w:rsidRPr="000218B2">
              <w:rPr>
                <w:sz w:val="17"/>
                <w:szCs w:val="17"/>
              </w:rPr>
              <w:t>Exploitation of the information content of the different containment measures implemented across countries.</w:t>
            </w:r>
          </w:p>
          <w:p w14:paraId="0C1ADC38" w14:textId="77777777" w:rsidR="00407D0A" w:rsidRPr="000218B2" w:rsidRDefault="00407D0A" w:rsidP="00407D0A">
            <w:pPr>
              <w:pStyle w:val="ListParagraph"/>
              <w:numPr>
                <w:ilvl w:val="0"/>
                <w:numId w:val="28"/>
              </w:numPr>
              <w:jc w:val="left"/>
              <w:rPr>
                <w:sz w:val="17"/>
                <w:szCs w:val="17"/>
              </w:rPr>
            </w:pPr>
            <w:r w:rsidRPr="000218B2">
              <w:rPr>
                <w:sz w:val="17"/>
                <w:szCs w:val="17"/>
              </w:rPr>
              <w:t>Exploitation of the information content of high-frequency indicators, as these indicators are able to quickly capture sudden changes in economic conditions.</w:t>
            </w:r>
          </w:p>
          <w:p w14:paraId="7D7EFE6C" w14:textId="77777777" w:rsidR="00407D0A" w:rsidRPr="000218B2" w:rsidRDefault="00407D0A" w:rsidP="00407D0A">
            <w:pPr>
              <w:pStyle w:val="ListParagraph"/>
              <w:numPr>
                <w:ilvl w:val="0"/>
                <w:numId w:val="28"/>
              </w:numPr>
              <w:jc w:val="left"/>
              <w:rPr>
                <w:sz w:val="17"/>
                <w:szCs w:val="17"/>
              </w:rPr>
            </w:pPr>
            <w:r w:rsidRPr="000218B2">
              <w:rPr>
                <w:sz w:val="17"/>
                <w:szCs w:val="17"/>
              </w:rPr>
              <w:t>Adjustment of the linear relationship between GDP and the Purchasing Manager’s Index (PMI).</w:t>
            </w:r>
          </w:p>
          <w:p w14:paraId="0BF36A47" w14:textId="77777777" w:rsidR="00407D0A" w:rsidRPr="000218B2" w:rsidRDefault="00407D0A" w:rsidP="00407D0A">
            <w:pPr>
              <w:pStyle w:val="ListParagraph"/>
              <w:numPr>
                <w:ilvl w:val="0"/>
                <w:numId w:val="28"/>
              </w:numPr>
              <w:jc w:val="left"/>
              <w:rPr>
                <w:sz w:val="17"/>
                <w:szCs w:val="17"/>
              </w:rPr>
            </w:pPr>
            <w:r w:rsidRPr="000218B2">
              <w:rPr>
                <w:sz w:val="17"/>
                <w:szCs w:val="17"/>
              </w:rPr>
              <w:t xml:space="preserve">Extraction of information from tail events using a non-linear model. </w:t>
            </w:r>
          </w:p>
          <w:p w14:paraId="709C3B0F" w14:textId="1440CEC8" w:rsidR="00407D0A" w:rsidRPr="000218B2" w:rsidRDefault="00407D0A" w:rsidP="00407D0A">
            <w:pPr>
              <w:jc w:val="left"/>
              <w:rPr>
                <w:sz w:val="17"/>
                <w:szCs w:val="17"/>
              </w:rPr>
            </w:pPr>
            <w:r w:rsidRPr="000218B2">
              <w:rPr>
                <w:sz w:val="17"/>
                <w:szCs w:val="17"/>
              </w:rPr>
              <w:t>The ECB notes that the use of these non-standard approaches requires caution as some of these tools are specifically tailored to the pandemic shock. The ECB has stated that it intends to continue to utilise these tools to inform the judgment exercised and included in the ECB staff macroeconomic projections and needed to assess the impact of the second wave of the pandemic on the economy.</w:t>
            </w:r>
          </w:p>
        </w:tc>
      </w:tr>
      <w:tr w:rsidR="00407D0A" w:rsidRPr="00166D67" w14:paraId="349CEA9A" w14:textId="77777777" w:rsidTr="001C278A">
        <w:trPr>
          <w:cantSplit/>
        </w:trPr>
        <w:tc>
          <w:tcPr>
            <w:tcW w:w="1097" w:type="dxa"/>
            <w:shd w:val="clear" w:color="auto" w:fill="auto"/>
          </w:tcPr>
          <w:p w14:paraId="25DBD74F" w14:textId="15498FD9" w:rsidR="00407D0A" w:rsidRPr="000218B2" w:rsidRDefault="00407D0A" w:rsidP="00407D0A">
            <w:pPr>
              <w:jc w:val="left"/>
              <w:rPr>
                <w:b/>
                <w:sz w:val="17"/>
                <w:szCs w:val="17"/>
              </w:rPr>
            </w:pPr>
            <w:r w:rsidRPr="000218B2">
              <w:rPr>
                <w:b/>
                <w:sz w:val="17"/>
                <w:szCs w:val="17"/>
              </w:rPr>
              <w:t>6 January 2021</w:t>
            </w:r>
          </w:p>
        </w:tc>
        <w:tc>
          <w:tcPr>
            <w:tcW w:w="1880" w:type="dxa"/>
            <w:shd w:val="clear" w:color="auto" w:fill="auto"/>
          </w:tcPr>
          <w:p w14:paraId="7DDFA6AC" w14:textId="42202C5B" w:rsidR="00407D0A" w:rsidRPr="000218B2" w:rsidRDefault="00A324C3" w:rsidP="00407D0A">
            <w:pPr>
              <w:jc w:val="left"/>
            </w:pPr>
            <w:hyperlink r:id="rId208" w:anchor="toc1" w:history="1">
              <w:r w:rsidR="00407D0A" w:rsidRPr="000218B2">
                <w:rPr>
                  <w:rStyle w:val="Hyperlink"/>
                  <w:sz w:val="17"/>
                  <w:szCs w:val="17"/>
                </w:rPr>
                <w:t>The impact of the COVID-19 pandemic on the euro area labour market</w:t>
              </w:r>
            </w:hyperlink>
          </w:p>
        </w:tc>
        <w:tc>
          <w:tcPr>
            <w:tcW w:w="1819" w:type="dxa"/>
            <w:shd w:val="clear" w:color="auto" w:fill="auto"/>
          </w:tcPr>
          <w:p w14:paraId="0809FE70" w14:textId="77777777" w:rsidR="00407D0A" w:rsidRPr="000218B2" w:rsidRDefault="00407D0A" w:rsidP="00407D0A">
            <w:pPr>
              <w:jc w:val="left"/>
              <w:rPr>
                <w:sz w:val="17"/>
                <w:szCs w:val="17"/>
              </w:rPr>
            </w:pPr>
          </w:p>
        </w:tc>
        <w:tc>
          <w:tcPr>
            <w:tcW w:w="2155" w:type="dxa"/>
            <w:shd w:val="clear" w:color="auto" w:fill="auto"/>
          </w:tcPr>
          <w:p w14:paraId="0272BC2C" w14:textId="6752858F" w:rsidR="00407D0A" w:rsidRPr="000218B2" w:rsidRDefault="00407D0A" w:rsidP="00407D0A">
            <w:pPr>
              <w:jc w:val="left"/>
              <w:rPr>
                <w:sz w:val="17"/>
                <w:szCs w:val="17"/>
              </w:rPr>
            </w:pPr>
            <w:r w:rsidRPr="000218B2">
              <w:rPr>
                <w:sz w:val="17"/>
                <w:szCs w:val="17"/>
              </w:rPr>
              <w:t>All Regulated Financial Services Providers</w:t>
            </w:r>
          </w:p>
        </w:tc>
        <w:tc>
          <w:tcPr>
            <w:tcW w:w="5523" w:type="dxa"/>
            <w:shd w:val="clear" w:color="auto" w:fill="auto"/>
          </w:tcPr>
          <w:p w14:paraId="06A9A148" w14:textId="63DAAB5E" w:rsidR="00407D0A" w:rsidRPr="000218B2" w:rsidRDefault="00407D0A" w:rsidP="00407D0A">
            <w:pPr>
              <w:jc w:val="left"/>
              <w:rPr>
                <w:sz w:val="17"/>
                <w:szCs w:val="17"/>
              </w:rPr>
            </w:pPr>
            <w:r w:rsidRPr="000218B2">
              <w:rPr>
                <w:sz w:val="17"/>
                <w:szCs w:val="17"/>
              </w:rPr>
              <w:t xml:space="preserve">The ECB has published an article considering the impact of the COVID-19 pandemic on the euro area labour market. The article notes that the data demonstrates a total decline in the hours worked in the second quarter of 2020 which can be attributed to labour supply and productivity shocks. Labour market developments were also significantly impacted by the high up-take of job retention schemes in the euro area. The article notes that the shift from office work to teleworking was a key change as a result of the pandemic. Labour productivity per employee decreased substantially during the pandemic although there was a slight increase in labour productivity per hour. There has been a widespread negative impact on the labour market across euro area countries as a result of the COVID-19 pandemic and there has been a substantial contraction in employment across all large countries. The article notes that the negative impact on the labour market has been somewhat alleviated by government support in the form of job retention schemes. It is likely that labour reallocation needs will increase for as long as the pandemic lasts. </w:t>
            </w:r>
          </w:p>
        </w:tc>
      </w:tr>
      <w:tr w:rsidR="00407D0A" w:rsidRPr="00166D67" w14:paraId="53796398" w14:textId="77777777" w:rsidTr="001C278A">
        <w:trPr>
          <w:cantSplit/>
        </w:trPr>
        <w:tc>
          <w:tcPr>
            <w:tcW w:w="1097" w:type="dxa"/>
            <w:shd w:val="clear" w:color="auto" w:fill="auto"/>
          </w:tcPr>
          <w:p w14:paraId="0F16DC00" w14:textId="262740F4" w:rsidR="00407D0A" w:rsidRPr="000218B2" w:rsidRDefault="00407D0A" w:rsidP="00407D0A">
            <w:pPr>
              <w:jc w:val="left"/>
              <w:rPr>
                <w:b/>
                <w:sz w:val="17"/>
                <w:szCs w:val="17"/>
              </w:rPr>
            </w:pPr>
            <w:r w:rsidRPr="000218B2">
              <w:rPr>
                <w:b/>
                <w:sz w:val="17"/>
                <w:szCs w:val="17"/>
              </w:rPr>
              <w:t>6 January 2021</w:t>
            </w:r>
          </w:p>
        </w:tc>
        <w:tc>
          <w:tcPr>
            <w:tcW w:w="1880" w:type="dxa"/>
            <w:shd w:val="clear" w:color="auto" w:fill="auto"/>
          </w:tcPr>
          <w:p w14:paraId="7B02ABC3" w14:textId="4AF38983" w:rsidR="00407D0A" w:rsidRPr="000218B2" w:rsidRDefault="00A324C3" w:rsidP="00407D0A">
            <w:pPr>
              <w:jc w:val="left"/>
            </w:pPr>
            <w:hyperlink r:id="rId209" w:history="1">
              <w:r w:rsidR="00407D0A" w:rsidRPr="000218B2">
                <w:rPr>
                  <w:rStyle w:val="Hyperlink"/>
                  <w:sz w:val="17"/>
                  <w:szCs w:val="17"/>
                </w:rPr>
                <w:t>The digital economy and the euro area</w:t>
              </w:r>
            </w:hyperlink>
          </w:p>
        </w:tc>
        <w:tc>
          <w:tcPr>
            <w:tcW w:w="1819" w:type="dxa"/>
            <w:shd w:val="clear" w:color="auto" w:fill="auto"/>
          </w:tcPr>
          <w:p w14:paraId="308447C9" w14:textId="77777777" w:rsidR="00407D0A" w:rsidRPr="000218B2" w:rsidRDefault="00407D0A" w:rsidP="00407D0A">
            <w:pPr>
              <w:jc w:val="left"/>
              <w:rPr>
                <w:sz w:val="17"/>
                <w:szCs w:val="17"/>
              </w:rPr>
            </w:pPr>
          </w:p>
        </w:tc>
        <w:tc>
          <w:tcPr>
            <w:tcW w:w="2155" w:type="dxa"/>
            <w:shd w:val="clear" w:color="auto" w:fill="auto"/>
          </w:tcPr>
          <w:p w14:paraId="5DC2ABE1" w14:textId="41FE8229" w:rsidR="00407D0A" w:rsidRPr="000218B2" w:rsidRDefault="008E1A10" w:rsidP="00407D0A">
            <w:pPr>
              <w:jc w:val="left"/>
              <w:rPr>
                <w:sz w:val="17"/>
                <w:szCs w:val="17"/>
              </w:rPr>
            </w:pPr>
            <w:r w:rsidRPr="008E1A10">
              <w:rPr>
                <w:sz w:val="17"/>
                <w:szCs w:val="17"/>
              </w:rPr>
              <w:t>All Regulated Financial Services Providers</w:t>
            </w:r>
          </w:p>
        </w:tc>
        <w:tc>
          <w:tcPr>
            <w:tcW w:w="5523" w:type="dxa"/>
            <w:shd w:val="clear" w:color="auto" w:fill="auto"/>
          </w:tcPr>
          <w:p w14:paraId="1048C9FB" w14:textId="7BEF3B41" w:rsidR="00407D0A" w:rsidRPr="000218B2" w:rsidRDefault="00407D0A" w:rsidP="00407D0A">
            <w:pPr>
              <w:jc w:val="left"/>
              <w:rPr>
                <w:sz w:val="17"/>
                <w:szCs w:val="17"/>
              </w:rPr>
            </w:pPr>
            <w:r w:rsidRPr="000218B2">
              <w:rPr>
                <w:sz w:val="17"/>
                <w:szCs w:val="17"/>
              </w:rPr>
              <w:t xml:space="preserve">The ECB has published an article on the digitalisation of the euro area, noting that the importance of the digital economy is likely to continue to increase particularly in light of the increased take up of digital technologies during the COVID-19 pandemic. The article considers the effect of digitalisation on monetary policy-relevant variables such as employment, productivity and inflation and notes that policy reform, particularly in the areas of labour, product and financial market regulations may be required in order to fully reap the potential rewards from digital technologies whilst also maintaining inclusiveness. </w:t>
            </w:r>
          </w:p>
        </w:tc>
      </w:tr>
      <w:tr w:rsidR="00407D0A" w:rsidRPr="00166D67" w14:paraId="3AEB7528" w14:textId="77777777" w:rsidTr="001C278A">
        <w:trPr>
          <w:cantSplit/>
        </w:trPr>
        <w:tc>
          <w:tcPr>
            <w:tcW w:w="1097" w:type="dxa"/>
            <w:shd w:val="clear" w:color="auto" w:fill="auto"/>
          </w:tcPr>
          <w:p w14:paraId="4C4851D7" w14:textId="23C1368F" w:rsidR="00407D0A" w:rsidRPr="000218B2" w:rsidRDefault="00407D0A" w:rsidP="00407D0A">
            <w:pPr>
              <w:jc w:val="left"/>
              <w:rPr>
                <w:b/>
                <w:sz w:val="17"/>
                <w:szCs w:val="17"/>
              </w:rPr>
            </w:pPr>
            <w:r w:rsidRPr="000218B2">
              <w:rPr>
                <w:b/>
                <w:sz w:val="17"/>
                <w:szCs w:val="17"/>
              </w:rPr>
              <w:t>6 January 2021</w:t>
            </w:r>
          </w:p>
        </w:tc>
        <w:tc>
          <w:tcPr>
            <w:tcW w:w="1880" w:type="dxa"/>
            <w:shd w:val="clear" w:color="auto" w:fill="auto"/>
          </w:tcPr>
          <w:p w14:paraId="0D788504" w14:textId="4656CEDC" w:rsidR="00407D0A" w:rsidRPr="000218B2" w:rsidRDefault="00A324C3" w:rsidP="00407D0A">
            <w:pPr>
              <w:jc w:val="left"/>
            </w:pPr>
            <w:hyperlink r:id="rId210" w:history="1">
              <w:r w:rsidR="00407D0A" w:rsidRPr="000218B2">
                <w:rPr>
                  <w:rStyle w:val="Hyperlink"/>
                  <w:sz w:val="17"/>
                  <w:szCs w:val="17"/>
                </w:rPr>
                <w:t>Assessing wage dynamics during the COVID-19 pandemic: can data on negotiated wages help?</w:t>
              </w:r>
            </w:hyperlink>
          </w:p>
        </w:tc>
        <w:tc>
          <w:tcPr>
            <w:tcW w:w="1819" w:type="dxa"/>
            <w:shd w:val="clear" w:color="auto" w:fill="auto"/>
          </w:tcPr>
          <w:p w14:paraId="6393B11C" w14:textId="77777777" w:rsidR="00407D0A" w:rsidRPr="000218B2" w:rsidRDefault="00407D0A" w:rsidP="00407D0A">
            <w:pPr>
              <w:jc w:val="left"/>
              <w:rPr>
                <w:sz w:val="17"/>
                <w:szCs w:val="17"/>
              </w:rPr>
            </w:pPr>
          </w:p>
        </w:tc>
        <w:tc>
          <w:tcPr>
            <w:tcW w:w="2155" w:type="dxa"/>
            <w:shd w:val="clear" w:color="auto" w:fill="auto"/>
          </w:tcPr>
          <w:p w14:paraId="33FE6407" w14:textId="0B4AAFA2" w:rsidR="00407D0A" w:rsidRPr="000218B2" w:rsidRDefault="00407D0A" w:rsidP="00407D0A">
            <w:pPr>
              <w:jc w:val="left"/>
              <w:rPr>
                <w:sz w:val="17"/>
                <w:szCs w:val="17"/>
              </w:rPr>
            </w:pPr>
            <w:r w:rsidRPr="000218B2">
              <w:rPr>
                <w:sz w:val="17"/>
                <w:szCs w:val="17"/>
              </w:rPr>
              <w:t>All Regulated Financial Services Providers</w:t>
            </w:r>
          </w:p>
        </w:tc>
        <w:tc>
          <w:tcPr>
            <w:tcW w:w="5523" w:type="dxa"/>
            <w:shd w:val="clear" w:color="auto" w:fill="auto"/>
          </w:tcPr>
          <w:p w14:paraId="415026C0" w14:textId="2D582F37" w:rsidR="00407D0A" w:rsidRPr="000218B2" w:rsidRDefault="00407D0A" w:rsidP="00407D0A">
            <w:pPr>
              <w:jc w:val="left"/>
              <w:rPr>
                <w:sz w:val="17"/>
                <w:szCs w:val="17"/>
              </w:rPr>
            </w:pPr>
            <w:r w:rsidRPr="000218B2">
              <w:rPr>
                <w:sz w:val="17"/>
                <w:szCs w:val="17"/>
              </w:rPr>
              <w:t xml:space="preserve">The ECB has published an Economic Bulletin which considers the potential benefit </w:t>
            </w:r>
            <w:r w:rsidR="000D5894" w:rsidRPr="000218B2">
              <w:rPr>
                <w:sz w:val="17"/>
                <w:szCs w:val="17"/>
              </w:rPr>
              <w:t xml:space="preserve">that </w:t>
            </w:r>
            <w:r w:rsidRPr="000218B2">
              <w:rPr>
                <w:sz w:val="17"/>
                <w:szCs w:val="17"/>
              </w:rPr>
              <w:t xml:space="preserve">data on negotiated wages may have on assessing wage dynamics during COVID-19. The article notes the challenges posed by the COVID-19 pandemic in relation to interpreting labour market developments and suggests that these may be addressed by negotiated wage rate data. The article notes however that the value of this data may be limited in the context of predicating future wage growth as current growth in negotiated wages continues to be driven by pre-pandemic wage agreements. </w:t>
            </w:r>
          </w:p>
        </w:tc>
      </w:tr>
      <w:tr w:rsidR="00407D0A" w:rsidRPr="00166D67" w14:paraId="04C9DDC2" w14:textId="77777777" w:rsidTr="001C278A">
        <w:trPr>
          <w:cantSplit/>
        </w:trPr>
        <w:tc>
          <w:tcPr>
            <w:tcW w:w="1097" w:type="dxa"/>
            <w:shd w:val="clear" w:color="auto" w:fill="auto"/>
          </w:tcPr>
          <w:p w14:paraId="37EA6637" w14:textId="1D5EC2F4" w:rsidR="00407D0A" w:rsidRPr="000218B2" w:rsidRDefault="00407D0A" w:rsidP="00407D0A">
            <w:pPr>
              <w:jc w:val="left"/>
              <w:rPr>
                <w:b/>
                <w:sz w:val="17"/>
                <w:szCs w:val="17"/>
              </w:rPr>
            </w:pPr>
            <w:r w:rsidRPr="000218B2">
              <w:rPr>
                <w:b/>
                <w:sz w:val="17"/>
                <w:szCs w:val="17"/>
              </w:rPr>
              <w:t>7 January 2021</w:t>
            </w:r>
          </w:p>
        </w:tc>
        <w:tc>
          <w:tcPr>
            <w:tcW w:w="1880" w:type="dxa"/>
            <w:shd w:val="clear" w:color="auto" w:fill="auto"/>
          </w:tcPr>
          <w:p w14:paraId="366022E6" w14:textId="5769C442" w:rsidR="00407D0A" w:rsidRPr="000218B2" w:rsidRDefault="00A324C3" w:rsidP="00407D0A">
            <w:pPr>
              <w:jc w:val="left"/>
            </w:pPr>
            <w:hyperlink r:id="rId211" w:history="1">
              <w:r w:rsidR="00407D0A" w:rsidRPr="000218B2">
                <w:rPr>
                  <w:rStyle w:val="Hyperlink"/>
                  <w:sz w:val="17"/>
                  <w:szCs w:val="17"/>
                </w:rPr>
                <w:t>The scarring effects of past crises on the global economy</w:t>
              </w:r>
            </w:hyperlink>
          </w:p>
        </w:tc>
        <w:tc>
          <w:tcPr>
            <w:tcW w:w="1819" w:type="dxa"/>
            <w:shd w:val="clear" w:color="auto" w:fill="auto"/>
          </w:tcPr>
          <w:p w14:paraId="2127A002" w14:textId="77777777" w:rsidR="00407D0A" w:rsidRPr="000218B2" w:rsidRDefault="00407D0A" w:rsidP="00407D0A">
            <w:pPr>
              <w:jc w:val="left"/>
              <w:rPr>
                <w:sz w:val="17"/>
                <w:szCs w:val="17"/>
              </w:rPr>
            </w:pPr>
          </w:p>
        </w:tc>
        <w:tc>
          <w:tcPr>
            <w:tcW w:w="2155" w:type="dxa"/>
            <w:shd w:val="clear" w:color="auto" w:fill="auto"/>
          </w:tcPr>
          <w:p w14:paraId="08322706" w14:textId="0F9B0BF8" w:rsidR="00407D0A" w:rsidRPr="000218B2" w:rsidRDefault="00407D0A" w:rsidP="00407D0A">
            <w:pPr>
              <w:jc w:val="left"/>
              <w:rPr>
                <w:sz w:val="17"/>
                <w:szCs w:val="17"/>
              </w:rPr>
            </w:pPr>
            <w:r w:rsidRPr="000218B2">
              <w:rPr>
                <w:sz w:val="17"/>
                <w:szCs w:val="17"/>
              </w:rPr>
              <w:t>All Regulated Financial Services Providers</w:t>
            </w:r>
          </w:p>
        </w:tc>
        <w:tc>
          <w:tcPr>
            <w:tcW w:w="5523" w:type="dxa"/>
            <w:shd w:val="clear" w:color="auto" w:fill="auto"/>
          </w:tcPr>
          <w:p w14:paraId="4A26E376" w14:textId="77777777" w:rsidR="00407D0A" w:rsidRPr="000218B2" w:rsidRDefault="00407D0A" w:rsidP="00407D0A">
            <w:pPr>
              <w:jc w:val="left"/>
              <w:rPr>
                <w:sz w:val="17"/>
                <w:szCs w:val="17"/>
              </w:rPr>
            </w:pPr>
            <w:r w:rsidRPr="000218B2">
              <w:rPr>
                <w:sz w:val="17"/>
                <w:szCs w:val="17"/>
              </w:rPr>
              <w:t>The ECB has published an Economic Bulletin which considers the effect of the coronavirus (COVID-19) on the global economy. The article notes that the pandemic has resulted in supply and demand shock and a multifaceted and sizeable policy response. The article compares the COVID-19 Pandemic with previous crises and considers its implications for the long-term growth potential of the global economy. It is noted that while comparing the effects of past crises with the COVID-19 pandemic might provide some insight as to how he COVID-19 shock may affect potential output, it should be recalled that the COVID-19 crisis is unique in many respects and that therefore past crises may not be reliable indicators of the lasting effects it may have on the global economy, particularly as the duration of the crisis (one of the key parameters for assessing potential scarring effects) remains unknown. Key points:</w:t>
            </w:r>
          </w:p>
          <w:p w14:paraId="50F112D0" w14:textId="77777777" w:rsidR="00407D0A" w:rsidRPr="000218B2" w:rsidRDefault="00407D0A" w:rsidP="00407D0A">
            <w:pPr>
              <w:pStyle w:val="ListParagraph"/>
              <w:numPr>
                <w:ilvl w:val="0"/>
                <w:numId w:val="27"/>
              </w:numPr>
              <w:jc w:val="left"/>
              <w:rPr>
                <w:sz w:val="17"/>
                <w:szCs w:val="17"/>
              </w:rPr>
            </w:pPr>
            <w:r w:rsidRPr="000218B2">
              <w:rPr>
                <w:sz w:val="17"/>
                <w:szCs w:val="17"/>
              </w:rPr>
              <w:t>Evidence shows that in recessions following financial crises, the impact of the crisis was particularly persistent for the capital stock.</w:t>
            </w:r>
          </w:p>
          <w:p w14:paraId="4B6B9373" w14:textId="77777777" w:rsidR="00407D0A" w:rsidRPr="000218B2" w:rsidRDefault="00407D0A" w:rsidP="00407D0A">
            <w:pPr>
              <w:pStyle w:val="ListParagraph"/>
              <w:numPr>
                <w:ilvl w:val="0"/>
                <w:numId w:val="27"/>
              </w:numPr>
              <w:jc w:val="left"/>
              <w:rPr>
                <w:sz w:val="17"/>
                <w:szCs w:val="17"/>
              </w:rPr>
            </w:pPr>
            <w:r w:rsidRPr="000218B2">
              <w:rPr>
                <w:sz w:val="17"/>
                <w:szCs w:val="17"/>
              </w:rPr>
              <w:t>COVID-19 could negatively affect the capital stock, as was observed in past financial crises.</w:t>
            </w:r>
          </w:p>
          <w:p w14:paraId="79046D1A" w14:textId="77777777" w:rsidR="00407D0A" w:rsidRPr="000218B2" w:rsidRDefault="00407D0A" w:rsidP="00407D0A">
            <w:pPr>
              <w:pStyle w:val="ListParagraph"/>
              <w:numPr>
                <w:ilvl w:val="0"/>
                <w:numId w:val="27"/>
              </w:numPr>
              <w:jc w:val="left"/>
              <w:rPr>
                <w:sz w:val="17"/>
                <w:szCs w:val="17"/>
              </w:rPr>
            </w:pPr>
            <w:r w:rsidRPr="000218B2">
              <w:rPr>
                <w:sz w:val="17"/>
                <w:szCs w:val="17"/>
              </w:rPr>
              <w:t>As the COVID-19 shock has above all hit labour-intensive sectors, the initial impact on labour supply could be stronger compared with past financial crises.</w:t>
            </w:r>
          </w:p>
          <w:p w14:paraId="070FD0CC" w14:textId="39DA85D7" w:rsidR="00407D0A" w:rsidRPr="000218B2" w:rsidRDefault="00407D0A" w:rsidP="00407D0A">
            <w:pPr>
              <w:jc w:val="left"/>
              <w:rPr>
                <w:sz w:val="17"/>
                <w:szCs w:val="17"/>
              </w:rPr>
            </w:pPr>
            <w:r w:rsidRPr="000218B2">
              <w:rPr>
                <w:sz w:val="17"/>
                <w:szCs w:val="17"/>
              </w:rPr>
              <w:t>While the COVID-19 crisis could also have a negative impact on productivity, the push towards digital technologies might be positive in the longer term.</w:t>
            </w:r>
          </w:p>
        </w:tc>
      </w:tr>
      <w:tr w:rsidR="00407D0A" w:rsidRPr="000218B2" w14:paraId="63B902B2" w14:textId="77777777" w:rsidTr="001C278A">
        <w:trPr>
          <w:cantSplit/>
        </w:trPr>
        <w:tc>
          <w:tcPr>
            <w:tcW w:w="1097" w:type="dxa"/>
            <w:shd w:val="clear" w:color="auto" w:fill="auto"/>
          </w:tcPr>
          <w:p w14:paraId="38BFEE95" w14:textId="3C4B7848" w:rsidR="00407D0A" w:rsidRPr="000218B2" w:rsidRDefault="00407D0A" w:rsidP="00407D0A">
            <w:pPr>
              <w:jc w:val="left"/>
              <w:rPr>
                <w:b/>
                <w:sz w:val="17"/>
                <w:szCs w:val="17"/>
              </w:rPr>
            </w:pPr>
            <w:r w:rsidRPr="000218B2">
              <w:rPr>
                <w:b/>
                <w:sz w:val="17"/>
                <w:szCs w:val="17"/>
              </w:rPr>
              <w:t>7 January 2021</w:t>
            </w:r>
          </w:p>
        </w:tc>
        <w:tc>
          <w:tcPr>
            <w:tcW w:w="1880" w:type="dxa"/>
            <w:shd w:val="clear" w:color="auto" w:fill="auto"/>
          </w:tcPr>
          <w:p w14:paraId="36309D60" w14:textId="36524969" w:rsidR="00407D0A" w:rsidRPr="000218B2" w:rsidRDefault="00A324C3" w:rsidP="00407D0A">
            <w:pPr>
              <w:jc w:val="left"/>
            </w:pPr>
            <w:hyperlink r:id="rId212" w:history="1">
              <w:r w:rsidR="00407D0A" w:rsidRPr="000218B2">
                <w:rPr>
                  <w:rStyle w:val="Hyperlink"/>
                  <w:sz w:val="17"/>
                  <w:szCs w:val="17"/>
                </w:rPr>
                <w:t>Liquidity conditions and monetary policy operations in the period from 22 July to 3 November 2020</w:t>
              </w:r>
            </w:hyperlink>
          </w:p>
        </w:tc>
        <w:tc>
          <w:tcPr>
            <w:tcW w:w="1819" w:type="dxa"/>
            <w:shd w:val="clear" w:color="auto" w:fill="auto"/>
          </w:tcPr>
          <w:p w14:paraId="02123E26" w14:textId="77777777" w:rsidR="00407D0A" w:rsidRPr="000218B2" w:rsidRDefault="00407D0A" w:rsidP="00407D0A">
            <w:pPr>
              <w:jc w:val="left"/>
              <w:rPr>
                <w:sz w:val="17"/>
                <w:szCs w:val="17"/>
              </w:rPr>
            </w:pPr>
          </w:p>
        </w:tc>
        <w:tc>
          <w:tcPr>
            <w:tcW w:w="2155" w:type="dxa"/>
            <w:shd w:val="clear" w:color="auto" w:fill="auto"/>
          </w:tcPr>
          <w:p w14:paraId="10E6FC38" w14:textId="4E7FF53D" w:rsidR="00407D0A" w:rsidRPr="000218B2" w:rsidRDefault="008E1A10" w:rsidP="00407D0A">
            <w:pPr>
              <w:jc w:val="left"/>
              <w:rPr>
                <w:sz w:val="17"/>
                <w:szCs w:val="17"/>
              </w:rPr>
            </w:pPr>
            <w:r w:rsidRPr="008E1A10">
              <w:rPr>
                <w:sz w:val="17"/>
                <w:szCs w:val="17"/>
              </w:rPr>
              <w:t>All Regulated Financial Services Providers</w:t>
            </w:r>
          </w:p>
        </w:tc>
        <w:tc>
          <w:tcPr>
            <w:tcW w:w="5523" w:type="dxa"/>
            <w:shd w:val="clear" w:color="auto" w:fill="auto"/>
          </w:tcPr>
          <w:p w14:paraId="0DD7002A" w14:textId="77777777" w:rsidR="00407D0A" w:rsidRPr="000218B2" w:rsidRDefault="00407D0A" w:rsidP="00407D0A">
            <w:pPr>
              <w:jc w:val="left"/>
              <w:rPr>
                <w:sz w:val="17"/>
                <w:szCs w:val="17"/>
              </w:rPr>
            </w:pPr>
            <w:r w:rsidRPr="000218B2">
              <w:rPr>
                <w:sz w:val="17"/>
                <w:szCs w:val="17"/>
              </w:rPr>
              <w:t xml:space="preserve">The ECB has published an Economic Bulletin which considers the ECB's monetary policy operations and liquidity developments in the period from 22 July to 3 November 2020. The article notes that the market volatility caused by COVID-19 stabilised during this period and that measures announced by central banks played a key role in maintaining market functioning over the summer. The article notes that central bank liquidity levels continued to increase during the fifth and sixth maintenance periods of 2020. During this period, the banking system’s average daily liquidity needs stood at €2,044.5 billion, which is €109.8 billion higher than the average in the third and fourth maintenance periods of 2020. Other key findings in relation to liquidity were as follows: </w:t>
            </w:r>
          </w:p>
          <w:p w14:paraId="0C2DF585" w14:textId="77777777" w:rsidR="00407D0A" w:rsidRPr="000218B2" w:rsidRDefault="00407D0A" w:rsidP="00407D0A">
            <w:pPr>
              <w:pStyle w:val="ListParagraph"/>
              <w:numPr>
                <w:ilvl w:val="0"/>
                <w:numId w:val="29"/>
              </w:numPr>
              <w:jc w:val="left"/>
              <w:rPr>
                <w:sz w:val="17"/>
                <w:szCs w:val="17"/>
              </w:rPr>
            </w:pPr>
            <w:r w:rsidRPr="000218B2">
              <w:rPr>
                <w:sz w:val="17"/>
                <w:szCs w:val="17"/>
              </w:rPr>
              <w:t xml:space="preserve">The main liquidity absorbing factor during the period was government deposits. </w:t>
            </w:r>
          </w:p>
          <w:p w14:paraId="5A30B3E0" w14:textId="77777777" w:rsidR="00407D0A" w:rsidRPr="000218B2" w:rsidRDefault="00407D0A" w:rsidP="00407D0A">
            <w:pPr>
              <w:pStyle w:val="ListParagraph"/>
              <w:numPr>
                <w:ilvl w:val="0"/>
                <w:numId w:val="29"/>
              </w:numPr>
              <w:jc w:val="left"/>
              <w:rPr>
                <w:sz w:val="17"/>
                <w:szCs w:val="17"/>
              </w:rPr>
            </w:pPr>
            <w:r w:rsidRPr="000218B2">
              <w:rPr>
                <w:sz w:val="17"/>
                <w:szCs w:val="17"/>
              </w:rPr>
              <w:t xml:space="preserve">Liquidity provided through monetary policy instruments increased by €728.6 billion to €5,050.5 billion. </w:t>
            </w:r>
          </w:p>
          <w:p w14:paraId="197179EF" w14:textId="77777777" w:rsidR="00407D0A" w:rsidRPr="000218B2" w:rsidRDefault="00407D0A" w:rsidP="00407D0A">
            <w:pPr>
              <w:pStyle w:val="ListParagraph"/>
              <w:numPr>
                <w:ilvl w:val="0"/>
                <w:numId w:val="29"/>
              </w:numPr>
              <w:jc w:val="left"/>
              <w:rPr>
                <w:sz w:val="17"/>
                <w:szCs w:val="17"/>
              </w:rPr>
            </w:pPr>
            <w:r w:rsidRPr="000218B2">
              <w:rPr>
                <w:sz w:val="17"/>
                <w:szCs w:val="17"/>
              </w:rPr>
              <w:t xml:space="preserve">The average amount of liquidity provided through </w:t>
            </w:r>
            <w:proofErr w:type="spellStart"/>
            <w:r w:rsidRPr="000218B2">
              <w:rPr>
                <w:sz w:val="17"/>
                <w:szCs w:val="17"/>
              </w:rPr>
              <w:t>Eurosystem</w:t>
            </w:r>
            <w:proofErr w:type="spellEnd"/>
            <w:r w:rsidRPr="000218B2">
              <w:rPr>
                <w:sz w:val="17"/>
                <w:szCs w:val="17"/>
              </w:rPr>
              <w:t xml:space="preserve"> credit operations increased by €419.8 billion during the review period.</w:t>
            </w:r>
          </w:p>
          <w:p w14:paraId="315F8C55" w14:textId="77777777" w:rsidR="00407D0A" w:rsidRPr="000218B2" w:rsidRDefault="00407D0A" w:rsidP="00407D0A">
            <w:pPr>
              <w:pStyle w:val="ListParagraph"/>
              <w:numPr>
                <w:ilvl w:val="0"/>
                <w:numId w:val="29"/>
              </w:numPr>
              <w:jc w:val="left"/>
              <w:rPr>
                <w:sz w:val="17"/>
                <w:szCs w:val="17"/>
              </w:rPr>
            </w:pPr>
            <w:r w:rsidRPr="000218B2">
              <w:rPr>
                <w:sz w:val="17"/>
                <w:szCs w:val="17"/>
              </w:rPr>
              <w:t>Outright portfolios increased by €308.8 billion to €3,394.6 billion, owing to the continuation of net purchases under the APP and the PEPP.</w:t>
            </w:r>
          </w:p>
          <w:p w14:paraId="39976FCC" w14:textId="77777777" w:rsidR="00407D0A" w:rsidRPr="000218B2" w:rsidRDefault="00407D0A" w:rsidP="00407D0A">
            <w:pPr>
              <w:pStyle w:val="ListParagraph"/>
              <w:numPr>
                <w:ilvl w:val="0"/>
                <w:numId w:val="29"/>
              </w:numPr>
              <w:jc w:val="left"/>
              <w:rPr>
                <w:sz w:val="17"/>
                <w:szCs w:val="17"/>
              </w:rPr>
            </w:pPr>
            <w:r w:rsidRPr="000218B2">
              <w:rPr>
                <w:sz w:val="17"/>
                <w:szCs w:val="17"/>
              </w:rPr>
              <w:t>Average excess liquidity increased by €634.5 billion to €2,998.0 billion.</w:t>
            </w:r>
          </w:p>
          <w:p w14:paraId="08669D9B" w14:textId="0AD0DEFF" w:rsidR="00407D0A" w:rsidRPr="000218B2" w:rsidRDefault="00407D0A" w:rsidP="00407D0A">
            <w:pPr>
              <w:jc w:val="left"/>
              <w:rPr>
                <w:sz w:val="17"/>
                <w:szCs w:val="17"/>
              </w:rPr>
            </w:pPr>
            <w:r w:rsidRPr="000218B2">
              <w:rPr>
                <w:sz w:val="17"/>
                <w:szCs w:val="17"/>
              </w:rPr>
              <w:t>The €STR fell on a</w:t>
            </w:r>
            <w:r w:rsidR="000D5894" w:rsidRPr="000218B2">
              <w:rPr>
                <w:sz w:val="17"/>
                <w:szCs w:val="17"/>
              </w:rPr>
              <w:t>verage by 0.8 basis points</w:t>
            </w:r>
            <w:r w:rsidRPr="000218B2">
              <w:rPr>
                <w:sz w:val="17"/>
                <w:szCs w:val="17"/>
              </w:rPr>
              <w:t xml:space="preserve"> compared with the previous review period owing to rising excess liquidity.</w:t>
            </w:r>
          </w:p>
        </w:tc>
      </w:tr>
      <w:tr w:rsidR="00407D0A" w:rsidRPr="000218B2" w14:paraId="21CDFA33" w14:textId="77777777" w:rsidTr="001C278A">
        <w:trPr>
          <w:cantSplit/>
        </w:trPr>
        <w:tc>
          <w:tcPr>
            <w:tcW w:w="1097" w:type="dxa"/>
            <w:shd w:val="clear" w:color="auto" w:fill="auto"/>
          </w:tcPr>
          <w:p w14:paraId="77940D9F" w14:textId="3FFD559B" w:rsidR="00407D0A" w:rsidRPr="000218B2" w:rsidRDefault="00407D0A" w:rsidP="00407D0A">
            <w:pPr>
              <w:jc w:val="left"/>
              <w:rPr>
                <w:b/>
                <w:sz w:val="17"/>
                <w:szCs w:val="17"/>
              </w:rPr>
            </w:pPr>
            <w:r w:rsidRPr="000218B2">
              <w:rPr>
                <w:b/>
                <w:sz w:val="17"/>
                <w:szCs w:val="17"/>
              </w:rPr>
              <w:t>7 January 2021</w:t>
            </w:r>
          </w:p>
        </w:tc>
        <w:tc>
          <w:tcPr>
            <w:tcW w:w="1880" w:type="dxa"/>
            <w:shd w:val="clear" w:color="auto" w:fill="auto"/>
          </w:tcPr>
          <w:p w14:paraId="05DB8D58" w14:textId="74CA0149" w:rsidR="00407D0A" w:rsidRPr="000218B2" w:rsidRDefault="00A324C3" w:rsidP="00407D0A">
            <w:pPr>
              <w:jc w:val="left"/>
            </w:pPr>
            <w:hyperlink r:id="rId213" w:history="1">
              <w:r w:rsidR="00407D0A" w:rsidRPr="000218B2">
                <w:rPr>
                  <w:rStyle w:val="Hyperlink"/>
                  <w:sz w:val="17"/>
                  <w:szCs w:val="17"/>
                </w:rPr>
                <w:t>Understanding the impact of the COVID-19 pandemic through an import-adjusted breakdown of euro area aggregate demand</w:t>
              </w:r>
            </w:hyperlink>
          </w:p>
        </w:tc>
        <w:tc>
          <w:tcPr>
            <w:tcW w:w="1819" w:type="dxa"/>
            <w:shd w:val="clear" w:color="auto" w:fill="auto"/>
          </w:tcPr>
          <w:p w14:paraId="52CA10C1" w14:textId="77777777" w:rsidR="00407D0A" w:rsidRPr="000218B2" w:rsidRDefault="00407D0A" w:rsidP="00407D0A">
            <w:pPr>
              <w:jc w:val="left"/>
              <w:rPr>
                <w:sz w:val="17"/>
                <w:szCs w:val="17"/>
              </w:rPr>
            </w:pPr>
          </w:p>
        </w:tc>
        <w:tc>
          <w:tcPr>
            <w:tcW w:w="2155" w:type="dxa"/>
            <w:shd w:val="clear" w:color="auto" w:fill="auto"/>
          </w:tcPr>
          <w:p w14:paraId="2CF1A743" w14:textId="79266DEC" w:rsidR="00407D0A" w:rsidRPr="000218B2" w:rsidRDefault="008E1A10" w:rsidP="00407D0A">
            <w:pPr>
              <w:jc w:val="left"/>
              <w:rPr>
                <w:sz w:val="17"/>
                <w:szCs w:val="17"/>
              </w:rPr>
            </w:pPr>
            <w:r w:rsidRPr="008E1A10">
              <w:rPr>
                <w:sz w:val="17"/>
                <w:szCs w:val="17"/>
              </w:rPr>
              <w:t>All Regulated Financial Services Providers</w:t>
            </w:r>
          </w:p>
        </w:tc>
        <w:tc>
          <w:tcPr>
            <w:tcW w:w="5523" w:type="dxa"/>
            <w:shd w:val="clear" w:color="auto" w:fill="auto"/>
          </w:tcPr>
          <w:p w14:paraId="4DAA8570" w14:textId="04A03AFE" w:rsidR="00407D0A" w:rsidRPr="000218B2" w:rsidRDefault="00407D0A" w:rsidP="00407D0A">
            <w:pPr>
              <w:jc w:val="left"/>
              <w:rPr>
                <w:sz w:val="17"/>
                <w:szCs w:val="17"/>
              </w:rPr>
            </w:pPr>
            <w:r w:rsidRPr="000218B2">
              <w:rPr>
                <w:sz w:val="17"/>
                <w:szCs w:val="17"/>
              </w:rPr>
              <w:t>An alternative method for breaking down GDP has been published by as part of the ECB's eighth Economic Bulletin of 2020. Whereas the standard breakdown of GDP splits domestic expenditure components and net exports and subtracts the contribution of total imports as a stand-alone aggregate from total exports to compute net exports, this alternative method take into account the fact that each demand component contains goods and services which are imported. Using the alternative method, imports are allocated to each expenditure component and deducted separately from it on the basis of its respective import intensity. Use of this method to separate domestic and external contributions to euro area growth suggests that the external contribution in the first three quarters of 2020 was larger in than suggested by the traditional breakdown, while the role of domestic demand was smaller.</w:t>
            </w:r>
          </w:p>
        </w:tc>
      </w:tr>
      <w:tr w:rsidR="00407D0A" w:rsidRPr="000218B2" w14:paraId="0B11628D" w14:textId="77777777" w:rsidTr="001C278A">
        <w:trPr>
          <w:cantSplit/>
        </w:trPr>
        <w:tc>
          <w:tcPr>
            <w:tcW w:w="1097" w:type="dxa"/>
            <w:shd w:val="clear" w:color="auto" w:fill="auto"/>
          </w:tcPr>
          <w:p w14:paraId="258CCCF3" w14:textId="2D0D3AC9" w:rsidR="00407D0A" w:rsidRPr="000218B2" w:rsidRDefault="00407D0A" w:rsidP="00407D0A">
            <w:pPr>
              <w:jc w:val="left"/>
              <w:rPr>
                <w:b/>
                <w:sz w:val="17"/>
                <w:szCs w:val="17"/>
              </w:rPr>
            </w:pPr>
            <w:r w:rsidRPr="000218B2">
              <w:rPr>
                <w:b/>
                <w:sz w:val="17"/>
                <w:szCs w:val="17"/>
              </w:rPr>
              <w:t>7 January 2021</w:t>
            </w:r>
          </w:p>
        </w:tc>
        <w:tc>
          <w:tcPr>
            <w:tcW w:w="1880" w:type="dxa"/>
            <w:shd w:val="clear" w:color="auto" w:fill="auto"/>
          </w:tcPr>
          <w:p w14:paraId="259F50C2" w14:textId="6F94EDAC" w:rsidR="00407D0A" w:rsidRPr="000218B2" w:rsidRDefault="00A324C3" w:rsidP="00407D0A">
            <w:pPr>
              <w:jc w:val="left"/>
            </w:pPr>
            <w:hyperlink r:id="rId214" w:anchor="toc2" w:history="1">
              <w:r w:rsidR="00407D0A" w:rsidRPr="000218B2">
                <w:rPr>
                  <w:rStyle w:val="Hyperlink"/>
                  <w:sz w:val="17"/>
                  <w:szCs w:val="17"/>
                </w:rPr>
                <w:t>Economic Bulletin</w:t>
              </w:r>
            </w:hyperlink>
          </w:p>
        </w:tc>
        <w:tc>
          <w:tcPr>
            <w:tcW w:w="1819" w:type="dxa"/>
            <w:shd w:val="clear" w:color="auto" w:fill="auto"/>
          </w:tcPr>
          <w:p w14:paraId="6BE9EB14" w14:textId="77777777" w:rsidR="00407D0A" w:rsidRPr="000218B2" w:rsidRDefault="00407D0A" w:rsidP="00407D0A">
            <w:pPr>
              <w:jc w:val="left"/>
              <w:rPr>
                <w:sz w:val="17"/>
                <w:szCs w:val="17"/>
              </w:rPr>
            </w:pPr>
          </w:p>
        </w:tc>
        <w:tc>
          <w:tcPr>
            <w:tcW w:w="2155" w:type="dxa"/>
            <w:shd w:val="clear" w:color="auto" w:fill="auto"/>
          </w:tcPr>
          <w:p w14:paraId="07EC5ED9" w14:textId="3F6ECDF7" w:rsidR="00407D0A" w:rsidRPr="000218B2" w:rsidRDefault="00407D0A" w:rsidP="00407D0A">
            <w:pPr>
              <w:jc w:val="left"/>
              <w:rPr>
                <w:sz w:val="17"/>
                <w:szCs w:val="17"/>
              </w:rPr>
            </w:pPr>
            <w:r w:rsidRPr="000218B2">
              <w:rPr>
                <w:sz w:val="17"/>
                <w:szCs w:val="17"/>
              </w:rPr>
              <w:t>All Regulated Financial Services Providers</w:t>
            </w:r>
          </w:p>
        </w:tc>
        <w:tc>
          <w:tcPr>
            <w:tcW w:w="5523" w:type="dxa"/>
            <w:shd w:val="clear" w:color="auto" w:fill="auto"/>
          </w:tcPr>
          <w:p w14:paraId="11FF529F" w14:textId="18E0634F" w:rsidR="00407D0A" w:rsidRPr="000218B2" w:rsidRDefault="00407D0A" w:rsidP="00407D0A">
            <w:pPr>
              <w:jc w:val="left"/>
              <w:rPr>
                <w:sz w:val="17"/>
                <w:szCs w:val="17"/>
              </w:rPr>
            </w:pPr>
            <w:r w:rsidRPr="000218B2">
              <w:rPr>
                <w:sz w:val="17"/>
                <w:szCs w:val="17"/>
              </w:rPr>
              <w:t xml:space="preserve">The ECB has published an Economic Bulletin, which provides an overview of the key economic and monetary development which took place in 2020. </w:t>
            </w:r>
          </w:p>
        </w:tc>
      </w:tr>
      <w:tr w:rsidR="0039440B" w:rsidRPr="000218B2" w14:paraId="64921521" w14:textId="77777777" w:rsidTr="001C278A">
        <w:trPr>
          <w:cantSplit/>
        </w:trPr>
        <w:tc>
          <w:tcPr>
            <w:tcW w:w="1097" w:type="dxa"/>
            <w:shd w:val="clear" w:color="auto" w:fill="auto"/>
          </w:tcPr>
          <w:p w14:paraId="3719E5CA" w14:textId="1114E8B9" w:rsidR="0039440B" w:rsidRPr="00533B6A" w:rsidRDefault="0039440B" w:rsidP="00407D0A">
            <w:pPr>
              <w:jc w:val="left"/>
              <w:rPr>
                <w:b/>
                <w:sz w:val="17"/>
                <w:szCs w:val="17"/>
              </w:rPr>
            </w:pPr>
            <w:r w:rsidRPr="00533B6A">
              <w:rPr>
                <w:b/>
                <w:sz w:val="17"/>
                <w:szCs w:val="17"/>
              </w:rPr>
              <w:t>1 February 2021</w:t>
            </w:r>
          </w:p>
        </w:tc>
        <w:tc>
          <w:tcPr>
            <w:tcW w:w="1880" w:type="dxa"/>
            <w:shd w:val="clear" w:color="auto" w:fill="auto"/>
          </w:tcPr>
          <w:p w14:paraId="779143C8" w14:textId="60834787" w:rsidR="0039440B" w:rsidRPr="00533B6A" w:rsidRDefault="00A324C3" w:rsidP="00407D0A">
            <w:pPr>
              <w:jc w:val="left"/>
              <w:rPr>
                <w:sz w:val="17"/>
                <w:szCs w:val="17"/>
              </w:rPr>
            </w:pPr>
            <w:hyperlink r:id="rId215" w:history="1">
              <w:r w:rsidR="0039440B" w:rsidRPr="00533B6A">
                <w:rPr>
                  <w:rStyle w:val="Hyperlink"/>
                  <w:sz w:val="17"/>
                  <w:szCs w:val="17"/>
                </w:rPr>
                <w:t>Rotation towards normality – the impact of COVID-19 vaccine-related news on global financial markets</w:t>
              </w:r>
            </w:hyperlink>
          </w:p>
        </w:tc>
        <w:tc>
          <w:tcPr>
            <w:tcW w:w="1819" w:type="dxa"/>
            <w:shd w:val="clear" w:color="auto" w:fill="auto"/>
          </w:tcPr>
          <w:p w14:paraId="1AE241D9" w14:textId="77777777" w:rsidR="0039440B" w:rsidRPr="00533B6A" w:rsidRDefault="0039440B" w:rsidP="00407D0A">
            <w:pPr>
              <w:jc w:val="left"/>
              <w:rPr>
                <w:sz w:val="17"/>
                <w:szCs w:val="17"/>
              </w:rPr>
            </w:pPr>
          </w:p>
        </w:tc>
        <w:tc>
          <w:tcPr>
            <w:tcW w:w="2155" w:type="dxa"/>
            <w:shd w:val="clear" w:color="auto" w:fill="auto"/>
          </w:tcPr>
          <w:p w14:paraId="7504F4C6" w14:textId="12A432C8" w:rsidR="0039440B" w:rsidRPr="00533B6A" w:rsidRDefault="001222C7" w:rsidP="00407D0A">
            <w:pPr>
              <w:jc w:val="left"/>
              <w:rPr>
                <w:sz w:val="17"/>
                <w:szCs w:val="17"/>
              </w:rPr>
            </w:pPr>
            <w:r w:rsidRPr="00533B6A">
              <w:rPr>
                <w:sz w:val="17"/>
                <w:szCs w:val="17"/>
              </w:rPr>
              <w:t>Investment Managers and Investment Firms</w:t>
            </w:r>
          </w:p>
        </w:tc>
        <w:tc>
          <w:tcPr>
            <w:tcW w:w="5523" w:type="dxa"/>
            <w:shd w:val="clear" w:color="auto" w:fill="auto"/>
          </w:tcPr>
          <w:p w14:paraId="5A2F530E" w14:textId="0CA8C02B" w:rsidR="0039440B" w:rsidRPr="00533B6A" w:rsidRDefault="0039440B" w:rsidP="00407D0A">
            <w:pPr>
              <w:jc w:val="left"/>
              <w:rPr>
                <w:sz w:val="17"/>
                <w:szCs w:val="17"/>
              </w:rPr>
            </w:pPr>
            <w:r w:rsidRPr="00533B6A">
              <w:rPr>
                <w:sz w:val="17"/>
                <w:szCs w:val="17"/>
              </w:rPr>
              <w:t xml:space="preserve">The ECB has published an Economic Bulletin which assesses the impact COVID-19 related news has had on global financial markets. The article notes that the pandemic has led to </w:t>
            </w:r>
            <w:r w:rsidR="00D97BA6" w:rsidRPr="00533B6A">
              <w:rPr>
                <w:sz w:val="17"/>
                <w:szCs w:val="17"/>
              </w:rPr>
              <w:t xml:space="preserve">the </w:t>
            </w:r>
            <w:r w:rsidRPr="00533B6A">
              <w:rPr>
                <w:sz w:val="17"/>
                <w:szCs w:val="17"/>
              </w:rPr>
              <w:t xml:space="preserve">sell-off of global risky assets, followed by an uneven recovery across sectors and countries. A key feature of the stock market recovery was a shift in investment away from way from countries and sectors hit by the pandemic, including airlines, tourism and energy, towards those perceived to benefit from the crisis, most notably IT and communications services, as well as pharmaceutical firms. News coverage in relation to the successful development of several vaccines in mid-November appears to have partly reversed this “COVID trade” investment strategy. The announcements in relation to the imminent arrival of vaccines led to rotation out of equity market sectors with high momentum until then. The econometric results demonstrate that the markets sectors which were most affected by the pandemic benefited the most from the positive vaccine news while the equity market sectors which benefited from the pandemic have underperformed following the announcements in relation to near-term vaccine delivery. </w:t>
            </w:r>
            <w:r w:rsidR="00D97BA6" w:rsidRPr="00533B6A">
              <w:rPr>
                <w:sz w:val="17"/>
                <w:szCs w:val="17"/>
              </w:rPr>
              <w:t>The results suggest that the euro area has benefited disproportionately from the vaccine news and that most sectors have experienced equity price increases compared with their US peers. The positive news in relation to the arrival and success rate of the vaccines has resulted in a boost to risky assets and has eased financial conditions however the results also suggest that setbacks in terms of the delivery or development of the vaccines could result in significant implications for global financial markets.</w:t>
            </w:r>
          </w:p>
        </w:tc>
      </w:tr>
      <w:tr w:rsidR="002E2F9E" w:rsidRPr="000218B2" w14:paraId="2C86A085" w14:textId="77777777" w:rsidTr="001C278A">
        <w:trPr>
          <w:cantSplit/>
        </w:trPr>
        <w:tc>
          <w:tcPr>
            <w:tcW w:w="1097" w:type="dxa"/>
            <w:shd w:val="clear" w:color="auto" w:fill="auto"/>
          </w:tcPr>
          <w:p w14:paraId="78DAD500" w14:textId="167382D6" w:rsidR="002E2F9E" w:rsidRPr="00533B6A" w:rsidRDefault="002E2F9E" w:rsidP="00407D0A">
            <w:pPr>
              <w:jc w:val="left"/>
              <w:rPr>
                <w:b/>
                <w:sz w:val="17"/>
                <w:szCs w:val="17"/>
              </w:rPr>
            </w:pPr>
            <w:r w:rsidRPr="00533B6A">
              <w:rPr>
                <w:b/>
                <w:sz w:val="17"/>
                <w:szCs w:val="17"/>
              </w:rPr>
              <w:t>1 February 2021</w:t>
            </w:r>
          </w:p>
        </w:tc>
        <w:tc>
          <w:tcPr>
            <w:tcW w:w="1880" w:type="dxa"/>
            <w:shd w:val="clear" w:color="auto" w:fill="auto"/>
          </w:tcPr>
          <w:p w14:paraId="7E2A4E2B" w14:textId="7186B512" w:rsidR="002E2F9E" w:rsidRPr="00533B6A" w:rsidRDefault="00A324C3" w:rsidP="00407D0A">
            <w:pPr>
              <w:jc w:val="left"/>
              <w:rPr>
                <w:sz w:val="17"/>
                <w:szCs w:val="17"/>
              </w:rPr>
            </w:pPr>
            <w:hyperlink r:id="rId216" w:history="1">
              <w:r w:rsidR="002E2F9E" w:rsidRPr="00533B6A">
                <w:rPr>
                  <w:rStyle w:val="Hyperlink"/>
                  <w:sz w:val="17"/>
                  <w:szCs w:val="17"/>
                </w:rPr>
                <w:t>FAQs on ECB supervisory measures in reaction to the coronavirus</w:t>
              </w:r>
            </w:hyperlink>
          </w:p>
        </w:tc>
        <w:tc>
          <w:tcPr>
            <w:tcW w:w="1819" w:type="dxa"/>
            <w:shd w:val="clear" w:color="auto" w:fill="auto"/>
          </w:tcPr>
          <w:p w14:paraId="3805BA7D" w14:textId="77777777" w:rsidR="002E2F9E" w:rsidRPr="00533B6A" w:rsidRDefault="002E2F9E" w:rsidP="00407D0A">
            <w:pPr>
              <w:jc w:val="left"/>
              <w:rPr>
                <w:sz w:val="17"/>
                <w:szCs w:val="17"/>
              </w:rPr>
            </w:pPr>
          </w:p>
        </w:tc>
        <w:tc>
          <w:tcPr>
            <w:tcW w:w="2155" w:type="dxa"/>
            <w:shd w:val="clear" w:color="auto" w:fill="auto"/>
          </w:tcPr>
          <w:p w14:paraId="4ED0126B" w14:textId="655FEBAD" w:rsidR="002E2F9E" w:rsidRPr="00533B6A" w:rsidRDefault="008E1A10" w:rsidP="00407D0A">
            <w:pPr>
              <w:jc w:val="left"/>
              <w:rPr>
                <w:sz w:val="17"/>
                <w:szCs w:val="17"/>
              </w:rPr>
            </w:pPr>
            <w:r w:rsidRPr="008E1A10">
              <w:rPr>
                <w:sz w:val="17"/>
                <w:szCs w:val="17"/>
              </w:rPr>
              <w:t>ECB supervised financial institutions</w:t>
            </w:r>
          </w:p>
        </w:tc>
        <w:tc>
          <w:tcPr>
            <w:tcW w:w="5523" w:type="dxa"/>
            <w:shd w:val="clear" w:color="auto" w:fill="auto"/>
          </w:tcPr>
          <w:p w14:paraId="1F5F77E0" w14:textId="535E63D1" w:rsidR="002E2F9E" w:rsidRPr="00533B6A" w:rsidRDefault="002E2F9E" w:rsidP="00836F2A">
            <w:pPr>
              <w:jc w:val="left"/>
              <w:rPr>
                <w:sz w:val="17"/>
                <w:szCs w:val="17"/>
              </w:rPr>
            </w:pPr>
            <w:r w:rsidRPr="00533B6A">
              <w:rPr>
                <w:sz w:val="17"/>
                <w:szCs w:val="17"/>
              </w:rPr>
              <w:t>The ECB has updated its FAQs on the ECB supervisory measures in reaction to the coronavirus</w:t>
            </w:r>
            <w:r w:rsidR="00836F2A" w:rsidRPr="00533B6A">
              <w:rPr>
                <w:sz w:val="17"/>
                <w:szCs w:val="17"/>
              </w:rPr>
              <w:t xml:space="preserve">. The updated FAQs clarify the ECB's position in relation to flexibility when implementing the ECB Guidance on non-performing loans (NPLs) and set out the ECB's expectations regarding the stock of NPLs. The ECB also clarified that its letter issued to banks on 28 June 2020 was intended to provide guidance as to the high level supervisory expectations of the ECB in relation to the operational management of asset quality deterioration during COVID-19. The FAQs state that the purpose of the letter “Identification and measurement of credit risk in the context of the coronavirus (COVID-19) pandemic”, published on 4 December 2020 was to provide banks with additional guidance on credit risk identification and measurement in the context of the COVID-19 pandemic. The updated FAQs also provide further guidance as to the relief measures regarding the operational aspects of supervision and the relief measures regarding capital and liquidity requirements. In addition, the FAQs also set out the ECB's expectations and requirements in relation to the restrictions on dividends and variable remuneration for the year 2019-2021. </w:t>
            </w:r>
          </w:p>
        </w:tc>
      </w:tr>
      <w:tr w:rsidR="00721F2D" w:rsidRPr="000218B2" w14:paraId="310835FD" w14:textId="77777777" w:rsidTr="001C278A">
        <w:trPr>
          <w:cantSplit/>
        </w:trPr>
        <w:tc>
          <w:tcPr>
            <w:tcW w:w="1097" w:type="dxa"/>
            <w:shd w:val="clear" w:color="auto" w:fill="auto"/>
          </w:tcPr>
          <w:p w14:paraId="5757E4FB" w14:textId="7762E1A6" w:rsidR="00721F2D" w:rsidRPr="002229FD" w:rsidRDefault="00721F2D" w:rsidP="00407D0A">
            <w:pPr>
              <w:jc w:val="left"/>
              <w:rPr>
                <w:b/>
                <w:sz w:val="17"/>
                <w:szCs w:val="17"/>
              </w:rPr>
            </w:pPr>
            <w:r w:rsidRPr="002229FD">
              <w:rPr>
                <w:b/>
                <w:sz w:val="17"/>
                <w:szCs w:val="17"/>
              </w:rPr>
              <w:t>2  February 2021</w:t>
            </w:r>
          </w:p>
        </w:tc>
        <w:tc>
          <w:tcPr>
            <w:tcW w:w="1880" w:type="dxa"/>
            <w:shd w:val="clear" w:color="auto" w:fill="auto"/>
          </w:tcPr>
          <w:p w14:paraId="61F8472C" w14:textId="645BE9C6" w:rsidR="00721F2D" w:rsidRPr="002229FD" w:rsidRDefault="00A324C3" w:rsidP="00407D0A">
            <w:pPr>
              <w:jc w:val="left"/>
              <w:rPr>
                <w:sz w:val="17"/>
                <w:szCs w:val="17"/>
              </w:rPr>
            </w:pPr>
            <w:hyperlink r:id="rId217" w:history="1">
              <w:r w:rsidR="00721F2D" w:rsidRPr="002229FD">
                <w:rPr>
                  <w:rStyle w:val="Hyperlink"/>
                  <w:sz w:val="17"/>
                  <w:szCs w:val="17"/>
                </w:rPr>
                <w:t>The initial fiscal policy responses of euro area countries to the COVID-19 crisis</w:t>
              </w:r>
            </w:hyperlink>
          </w:p>
        </w:tc>
        <w:tc>
          <w:tcPr>
            <w:tcW w:w="1819" w:type="dxa"/>
            <w:shd w:val="clear" w:color="auto" w:fill="auto"/>
          </w:tcPr>
          <w:p w14:paraId="0CCF497D" w14:textId="77777777" w:rsidR="00721F2D" w:rsidRPr="002229FD" w:rsidRDefault="00721F2D" w:rsidP="00407D0A">
            <w:pPr>
              <w:jc w:val="left"/>
              <w:rPr>
                <w:sz w:val="17"/>
                <w:szCs w:val="17"/>
              </w:rPr>
            </w:pPr>
          </w:p>
        </w:tc>
        <w:tc>
          <w:tcPr>
            <w:tcW w:w="2155" w:type="dxa"/>
            <w:shd w:val="clear" w:color="auto" w:fill="auto"/>
          </w:tcPr>
          <w:p w14:paraId="07430679" w14:textId="2F39DF38" w:rsidR="00721F2D" w:rsidRPr="002229FD" w:rsidRDefault="008E1A10" w:rsidP="00407D0A">
            <w:pPr>
              <w:jc w:val="left"/>
              <w:rPr>
                <w:sz w:val="17"/>
                <w:szCs w:val="17"/>
              </w:rPr>
            </w:pPr>
            <w:r w:rsidRPr="002229FD">
              <w:rPr>
                <w:sz w:val="17"/>
                <w:szCs w:val="17"/>
              </w:rPr>
              <w:t>All Regulated Financial Services Providers</w:t>
            </w:r>
          </w:p>
        </w:tc>
        <w:tc>
          <w:tcPr>
            <w:tcW w:w="5523" w:type="dxa"/>
            <w:shd w:val="clear" w:color="auto" w:fill="auto"/>
          </w:tcPr>
          <w:p w14:paraId="315BFD11" w14:textId="39E23388" w:rsidR="00721F2D" w:rsidRPr="002229FD" w:rsidRDefault="00721F2D" w:rsidP="00721F2D">
            <w:pPr>
              <w:jc w:val="left"/>
              <w:rPr>
                <w:sz w:val="17"/>
                <w:szCs w:val="17"/>
              </w:rPr>
            </w:pPr>
            <w:r w:rsidRPr="002229FD">
              <w:rPr>
                <w:sz w:val="17"/>
                <w:szCs w:val="17"/>
              </w:rPr>
              <w:t xml:space="preserve">The ECB has published an Economic Bulletin which considers the initial fiscal policy responses of euro area countries to the COVID-19 crisis and the implications for further policy measures. The articles addresses the specific fiscal policy measures taken in the course of 2020 and discusses the experiences of euro area countries during the pandemic. The article notes that successful recovery strategies from previous crisis episodes will need to be adapted in order to be applied to the current crisis. </w:t>
            </w:r>
          </w:p>
        </w:tc>
      </w:tr>
      <w:tr w:rsidR="005C0F8F" w:rsidRPr="000218B2" w14:paraId="0B4374C6" w14:textId="77777777" w:rsidTr="001C278A">
        <w:trPr>
          <w:cantSplit/>
        </w:trPr>
        <w:tc>
          <w:tcPr>
            <w:tcW w:w="1097" w:type="dxa"/>
            <w:shd w:val="clear" w:color="auto" w:fill="auto"/>
          </w:tcPr>
          <w:p w14:paraId="3AB9EF6F" w14:textId="32347025" w:rsidR="005C0F8F" w:rsidRPr="002229FD" w:rsidRDefault="005C0F8F" w:rsidP="00407D0A">
            <w:pPr>
              <w:jc w:val="left"/>
              <w:rPr>
                <w:b/>
                <w:sz w:val="17"/>
                <w:szCs w:val="17"/>
              </w:rPr>
            </w:pPr>
            <w:r w:rsidRPr="002229FD">
              <w:rPr>
                <w:b/>
                <w:sz w:val="17"/>
                <w:szCs w:val="17"/>
              </w:rPr>
              <w:t>17 February 2021</w:t>
            </w:r>
          </w:p>
        </w:tc>
        <w:tc>
          <w:tcPr>
            <w:tcW w:w="1880" w:type="dxa"/>
            <w:shd w:val="clear" w:color="auto" w:fill="auto"/>
          </w:tcPr>
          <w:p w14:paraId="0A235503" w14:textId="7CD65314" w:rsidR="005C0F8F" w:rsidRPr="002229FD" w:rsidRDefault="00A324C3" w:rsidP="00407D0A">
            <w:pPr>
              <w:jc w:val="left"/>
              <w:rPr>
                <w:sz w:val="17"/>
                <w:szCs w:val="17"/>
              </w:rPr>
            </w:pPr>
            <w:hyperlink r:id="rId218" w:history="1">
              <w:r w:rsidR="005C0F8F" w:rsidRPr="002229FD">
                <w:rPr>
                  <w:rStyle w:val="Hyperlink"/>
                  <w:sz w:val="17"/>
                  <w:szCs w:val="17"/>
                </w:rPr>
                <w:t>COVID-19 exposes weaknesses in banks’ recovery plans</w:t>
              </w:r>
            </w:hyperlink>
          </w:p>
        </w:tc>
        <w:tc>
          <w:tcPr>
            <w:tcW w:w="1819" w:type="dxa"/>
            <w:shd w:val="clear" w:color="auto" w:fill="auto"/>
          </w:tcPr>
          <w:p w14:paraId="088105D9" w14:textId="77777777" w:rsidR="005C0F8F" w:rsidRPr="002229FD" w:rsidRDefault="005C0F8F" w:rsidP="00407D0A">
            <w:pPr>
              <w:jc w:val="left"/>
              <w:rPr>
                <w:sz w:val="17"/>
                <w:szCs w:val="17"/>
              </w:rPr>
            </w:pPr>
          </w:p>
        </w:tc>
        <w:tc>
          <w:tcPr>
            <w:tcW w:w="2155" w:type="dxa"/>
            <w:shd w:val="clear" w:color="auto" w:fill="auto"/>
          </w:tcPr>
          <w:p w14:paraId="58C9FA52" w14:textId="5846369F" w:rsidR="005C0F8F" w:rsidRPr="002229FD" w:rsidRDefault="008E1A10" w:rsidP="00407D0A">
            <w:pPr>
              <w:jc w:val="left"/>
              <w:rPr>
                <w:sz w:val="17"/>
                <w:szCs w:val="17"/>
              </w:rPr>
            </w:pPr>
            <w:r w:rsidRPr="002229FD">
              <w:rPr>
                <w:sz w:val="17"/>
                <w:szCs w:val="17"/>
              </w:rPr>
              <w:t>ECB supervised financial institutions</w:t>
            </w:r>
          </w:p>
        </w:tc>
        <w:tc>
          <w:tcPr>
            <w:tcW w:w="5523" w:type="dxa"/>
            <w:shd w:val="clear" w:color="auto" w:fill="auto"/>
          </w:tcPr>
          <w:p w14:paraId="6A3DB4C3" w14:textId="77777777" w:rsidR="005C0F8F" w:rsidRPr="002229FD" w:rsidRDefault="00277171" w:rsidP="006E431A">
            <w:pPr>
              <w:jc w:val="left"/>
              <w:rPr>
                <w:sz w:val="17"/>
                <w:szCs w:val="17"/>
              </w:rPr>
            </w:pPr>
            <w:r w:rsidRPr="002229FD">
              <w:rPr>
                <w:sz w:val="17"/>
                <w:szCs w:val="17"/>
              </w:rPr>
              <w:t xml:space="preserve">The ECB has published an article in its Supervision Newsletter which discusses banks' recovery plans in light of the COVID-19 pandemic. The article notes that good recovery planning is necessary in order to allow banks to be more resilient to severe shocks. Recovery planning also reduces the need for taxpayer money to support the financial system in a crisis. The article states that a recovery plan should set out all the viable options that a bank has to survive a variety of severe but plausible stress situations. </w:t>
            </w:r>
            <w:r w:rsidR="006E431A" w:rsidRPr="002229FD">
              <w:rPr>
                <w:sz w:val="17"/>
                <w:szCs w:val="17"/>
              </w:rPr>
              <w:t xml:space="preserve">ECB Banking Supervision regularly carries out benchmarking of the recovery plans of the banks which it directly supervises. The results of the 2020 benchmarking exercise demonstrated that banks need to improve their recovery plans in order to effectively address the financial impact of crises such as the COVID-19 pandemic. </w:t>
            </w:r>
          </w:p>
          <w:p w14:paraId="5795073C" w14:textId="38A157A9" w:rsidR="006E431A" w:rsidRPr="002229FD" w:rsidRDefault="006E431A" w:rsidP="008E1A10">
            <w:pPr>
              <w:jc w:val="left"/>
              <w:rPr>
                <w:sz w:val="17"/>
                <w:szCs w:val="17"/>
              </w:rPr>
            </w:pPr>
            <w:r w:rsidRPr="002229FD">
              <w:rPr>
                <w:sz w:val="17"/>
                <w:szCs w:val="17"/>
              </w:rPr>
              <w:t>A key finding of the exercise was that COVID-19 stress could cause a significant reduction in banks' overall recovery capacity</w:t>
            </w:r>
            <w:r w:rsidR="001175A6" w:rsidRPr="002229FD">
              <w:rPr>
                <w:sz w:val="17"/>
                <w:szCs w:val="17"/>
              </w:rPr>
              <w:t xml:space="preserve"> (ORC)</w:t>
            </w:r>
            <w:r w:rsidRPr="002229FD">
              <w:rPr>
                <w:sz w:val="17"/>
                <w:szCs w:val="17"/>
              </w:rPr>
              <w:t xml:space="preserve">. </w:t>
            </w:r>
            <w:r w:rsidR="001175A6" w:rsidRPr="002229FD">
              <w:rPr>
                <w:sz w:val="17"/>
                <w:szCs w:val="17"/>
              </w:rPr>
              <w:t xml:space="preserve">The article notes that the impact of the pandemic could reduce banks' capacity to restore their capital position. The benchmarking exercise also illustrated that banks seem to rely on a very limited number of recovery options for the majority of their ORC in severe stress scenarios - for 37.5% of the banks benchmarked, 80% of their overall recovery capacity was generated by just two recovery options. A further key finding of the exercise was that some of the recovery indicators used by banks were not fully effective against COVID-19 stress. </w:t>
            </w:r>
            <w:r w:rsidR="008E1A10" w:rsidRPr="002229FD">
              <w:rPr>
                <w:sz w:val="17"/>
                <w:szCs w:val="17"/>
              </w:rPr>
              <w:t xml:space="preserve">This was particularly true of macroeconomic indicators and market-based indicators which were found to be too backward-looking. The ECB Banking Supervision has stated that it will focus on challenging banks’ recovery options and recovery capacity as part of its recovery plan assessments in 2021. </w:t>
            </w:r>
          </w:p>
        </w:tc>
      </w:tr>
      <w:tr w:rsidR="005C0F8F" w:rsidRPr="000218B2" w14:paraId="7C6CF6E9" w14:textId="77777777" w:rsidTr="001C278A">
        <w:trPr>
          <w:cantSplit/>
        </w:trPr>
        <w:tc>
          <w:tcPr>
            <w:tcW w:w="1097" w:type="dxa"/>
            <w:shd w:val="clear" w:color="auto" w:fill="auto"/>
          </w:tcPr>
          <w:p w14:paraId="3A2797D6" w14:textId="123AA7DB" w:rsidR="005C0F8F" w:rsidRPr="002229FD" w:rsidRDefault="005C0F8F" w:rsidP="00407D0A">
            <w:pPr>
              <w:jc w:val="left"/>
              <w:rPr>
                <w:b/>
                <w:sz w:val="17"/>
                <w:szCs w:val="17"/>
              </w:rPr>
            </w:pPr>
            <w:r w:rsidRPr="002229FD">
              <w:rPr>
                <w:b/>
                <w:sz w:val="17"/>
                <w:szCs w:val="17"/>
              </w:rPr>
              <w:t>17 February 2021</w:t>
            </w:r>
          </w:p>
        </w:tc>
        <w:tc>
          <w:tcPr>
            <w:tcW w:w="1880" w:type="dxa"/>
            <w:shd w:val="clear" w:color="auto" w:fill="auto"/>
          </w:tcPr>
          <w:p w14:paraId="1BF8B7AC" w14:textId="3592F9AD" w:rsidR="005C0F8F" w:rsidRPr="002229FD" w:rsidRDefault="00A324C3" w:rsidP="00407D0A">
            <w:pPr>
              <w:jc w:val="left"/>
              <w:rPr>
                <w:sz w:val="17"/>
                <w:szCs w:val="17"/>
              </w:rPr>
            </w:pPr>
            <w:hyperlink r:id="rId219" w:history="1">
              <w:r w:rsidR="005C0F8F" w:rsidRPr="002229FD">
                <w:rPr>
                  <w:rStyle w:val="Hyperlink"/>
                  <w:sz w:val="17"/>
                  <w:szCs w:val="17"/>
                </w:rPr>
                <w:t>COVID-19: making decisions in uncertain times</w:t>
              </w:r>
            </w:hyperlink>
          </w:p>
        </w:tc>
        <w:tc>
          <w:tcPr>
            <w:tcW w:w="1819" w:type="dxa"/>
            <w:shd w:val="clear" w:color="auto" w:fill="auto"/>
          </w:tcPr>
          <w:p w14:paraId="2FAB0D8A" w14:textId="77777777" w:rsidR="005C0F8F" w:rsidRPr="002229FD" w:rsidRDefault="005C0F8F" w:rsidP="00407D0A">
            <w:pPr>
              <w:jc w:val="left"/>
              <w:rPr>
                <w:sz w:val="17"/>
                <w:szCs w:val="17"/>
              </w:rPr>
            </w:pPr>
          </w:p>
        </w:tc>
        <w:tc>
          <w:tcPr>
            <w:tcW w:w="2155" w:type="dxa"/>
            <w:shd w:val="clear" w:color="auto" w:fill="auto"/>
          </w:tcPr>
          <w:p w14:paraId="5033289F" w14:textId="0376D620" w:rsidR="005C0F8F" w:rsidRPr="002229FD" w:rsidRDefault="008E1A10" w:rsidP="00407D0A">
            <w:pPr>
              <w:jc w:val="left"/>
              <w:rPr>
                <w:sz w:val="17"/>
                <w:szCs w:val="17"/>
              </w:rPr>
            </w:pPr>
            <w:r w:rsidRPr="002229FD">
              <w:rPr>
                <w:sz w:val="17"/>
                <w:szCs w:val="17"/>
              </w:rPr>
              <w:t>National Competent Authorities</w:t>
            </w:r>
          </w:p>
        </w:tc>
        <w:tc>
          <w:tcPr>
            <w:tcW w:w="5523" w:type="dxa"/>
            <w:shd w:val="clear" w:color="auto" w:fill="auto"/>
          </w:tcPr>
          <w:p w14:paraId="55AA2C29" w14:textId="2832D8E0" w:rsidR="005C0F8F" w:rsidRPr="002229FD" w:rsidRDefault="008E1A10" w:rsidP="008E1A10">
            <w:pPr>
              <w:jc w:val="left"/>
              <w:rPr>
                <w:sz w:val="17"/>
                <w:szCs w:val="17"/>
              </w:rPr>
            </w:pPr>
            <w:r w:rsidRPr="002229FD">
              <w:rPr>
                <w:sz w:val="17"/>
                <w:szCs w:val="17"/>
              </w:rPr>
              <w:t xml:space="preserve">The ECB has published an article in its Supervision Newsletter which discusses the market uncertainty which has been caused by the COVID-19 pandemic and considers how supervisory authorities should address this issue. The article notes that supervisors should endeavour to gain a better understanding of banks' risk profiles in order to reduce such uncertainty. ECB Banking Supervision wrote to the CEOs of banks under its supervision in December 2020 setting out the need for banks to recognise, measure and manage their credit risk in a timely way. The letter emphasised that banks should forecast and communicate to their supervisors the most probable impact of the pandemic in terms of the credit quality of loans, provisioning and capital. The article also noted that flexibility is necessary in order that supervisors can adjust their reaction to any change in circumstance. The article also warns that prudence is necessary as it is likely that delayed loan defaults will occur as a result of the widespread use of moratoria and public support measures. The article suggests that supervisors ought to improve the effectiveness of measures taken as a result of the pandemic by issuing clear guidance to banks and providing explanations of the underlying principles of these measures. In addition, supervisors should also clarify that these supervisory relief measures were introduced in exceptional circumstances and accordingly will be reversed when appropriate. </w:t>
            </w:r>
          </w:p>
        </w:tc>
      </w:tr>
      <w:tr w:rsidR="00AD12F5" w:rsidRPr="000218B2" w14:paraId="6ECAD22D" w14:textId="77777777" w:rsidTr="001C278A">
        <w:trPr>
          <w:cantSplit/>
        </w:trPr>
        <w:tc>
          <w:tcPr>
            <w:tcW w:w="1097" w:type="dxa"/>
            <w:shd w:val="clear" w:color="auto" w:fill="auto"/>
          </w:tcPr>
          <w:p w14:paraId="714660B5" w14:textId="3DA4F7FE" w:rsidR="00AD12F5" w:rsidRPr="002229FD" w:rsidRDefault="00AD12F5" w:rsidP="00407D0A">
            <w:pPr>
              <w:jc w:val="left"/>
              <w:rPr>
                <w:b/>
                <w:sz w:val="17"/>
                <w:szCs w:val="17"/>
              </w:rPr>
            </w:pPr>
            <w:r w:rsidRPr="002229FD">
              <w:rPr>
                <w:b/>
                <w:sz w:val="17"/>
                <w:szCs w:val="17"/>
              </w:rPr>
              <w:t>22 February 2021</w:t>
            </w:r>
          </w:p>
        </w:tc>
        <w:tc>
          <w:tcPr>
            <w:tcW w:w="1880" w:type="dxa"/>
            <w:shd w:val="clear" w:color="auto" w:fill="auto"/>
          </w:tcPr>
          <w:p w14:paraId="33F8EAE7" w14:textId="2311FA5E" w:rsidR="00AD12F5" w:rsidRPr="002229FD" w:rsidRDefault="00A324C3" w:rsidP="00407D0A">
            <w:pPr>
              <w:jc w:val="left"/>
              <w:rPr>
                <w:sz w:val="17"/>
                <w:szCs w:val="17"/>
              </w:rPr>
            </w:pPr>
            <w:hyperlink r:id="rId220" w:history="1">
              <w:r w:rsidR="00AD12F5" w:rsidRPr="002229FD">
                <w:rPr>
                  <w:rStyle w:val="Hyperlink"/>
                  <w:sz w:val="17"/>
                  <w:szCs w:val="17"/>
                </w:rPr>
                <w:t>Regional economic impact of Covid-19: the role of sectoral structure and trade linkages</w:t>
              </w:r>
            </w:hyperlink>
          </w:p>
        </w:tc>
        <w:tc>
          <w:tcPr>
            <w:tcW w:w="1819" w:type="dxa"/>
            <w:shd w:val="clear" w:color="auto" w:fill="auto"/>
          </w:tcPr>
          <w:p w14:paraId="6F58702A" w14:textId="77777777" w:rsidR="00AD12F5" w:rsidRPr="002229FD" w:rsidRDefault="00AD12F5" w:rsidP="00407D0A">
            <w:pPr>
              <w:jc w:val="left"/>
              <w:rPr>
                <w:sz w:val="17"/>
                <w:szCs w:val="17"/>
              </w:rPr>
            </w:pPr>
          </w:p>
        </w:tc>
        <w:tc>
          <w:tcPr>
            <w:tcW w:w="2155" w:type="dxa"/>
            <w:shd w:val="clear" w:color="auto" w:fill="auto"/>
          </w:tcPr>
          <w:p w14:paraId="2ED3E9B4" w14:textId="7884A517" w:rsidR="00AD12F5" w:rsidRPr="002229FD" w:rsidRDefault="00C14317" w:rsidP="00407D0A">
            <w:pPr>
              <w:jc w:val="left"/>
              <w:rPr>
                <w:sz w:val="17"/>
                <w:szCs w:val="17"/>
              </w:rPr>
            </w:pPr>
            <w:r w:rsidRPr="002229FD">
              <w:rPr>
                <w:sz w:val="17"/>
                <w:szCs w:val="17"/>
              </w:rPr>
              <w:t>All Regulated Financial Services Providers</w:t>
            </w:r>
          </w:p>
        </w:tc>
        <w:tc>
          <w:tcPr>
            <w:tcW w:w="5523" w:type="dxa"/>
            <w:shd w:val="clear" w:color="auto" w:fill="auto"/>
          </w:tcPr>
          <w:p w14:paraId="12B96E58" w14:textId="2763B087" w:rsidR="00AD12F5" w:rsidRPr="002229FD" w:rsidRDefault="00AD12F5" w:rsidP="00C14317">
            <w:pPr>
              <w:jc w:val="left"/>
              <w:rPr>
                <w:sz w:val="17"/>
                <w:szCs w:val="17"/>
              </w:rPr>
            </w:pPr>
            <w:r w:rsidRPr="002229FD">
              <w:rPr>
                <w:sz w:val="17"/>
                <w:szCs w:val="17"/>
              </w:rPr>
              <w:t xml:space="preserve">The ECB has published a Working Paper which discusses the regional impact of the impact of Covid-19. The paper considers </w:t>
            </w:r>
            <w:r w:rsidR="00C14317" w:rsidRPr="002229FD">
              <w:rPr>
                <w:sz w:val="17"/>
                <w:szCs w:val="17"/>
              </w:rPr>
              <w:t xml:space="preserve">how </w:t>
            </w:r>
            <w:r w:rsidRPr="002229FD">
              <w:rPr>
                <w:sz w:val="17"/>
                <w:szCs w:val="17"/>
              </w:rPr>
              <w:t>the interplay between the stringency of governments' containment measures, sectoral structure and trade linkages help explaining the within-country regional heterogeneity of the labour market impact of the pandemic, as measured</w:t>
            </w:r>
            <w:r w:rsidR="00685EC1" w:rsidRPr="002229FD">
              <w:rPr>
                <w:sz w:val="17"/>
                <w:szCs w:val="17"/>
              </w:rPr>
              <w:t xml:space="preserve"> </w:t>
            </w:r>
            <w:r w:rsidRPr="002229FD">
              <w:rPr>
                <w:sz w:val="17"/>
                <w:szCs w:val="17"/>
              </w:rPr>
              <w:t>by the number</w:t>
            </w:r>
            <w:r w:rsidR="00685EC1" w:rsidRPr="002229FD">
              <w:rPr>
                <w:sz w:val="17"/>
                <w:szCs w:val="17"/>
              </w:rPr>
              <w:t xml:space="preserve"> </w:t>
            </w:r>
            <w:r w:rsidRPr="002229FD">
              <w:rPr>
                <w:sz w:val="17"/>
                <w:szCs w:val="17"/>
              </w:rPr>
              <w:t>of employees in short-time work schemes</w:t>
            </w:r>
            <w:r w:rsidR="00C14317" w:rsidRPr="002229FD">
              <w:rPr>
                <w:sz w:val="17"/>
                <w:szCs w:val="17"/>
              </w:rPr>
              <w:t xml:space="preserve">. The working paper set out an indicator of regional economic exposure to COVID-19 which combines information in relation of the susceptibility of each economic activity to the pandemic and the possibility of performing tasks remotely. The paper also considers whether a region's trade relations with areas which have experienced the impact of COVID-19 shock have led to an additional economic burden. Indirect exposure to COVID-19 has been measured on the basis of regional exports and the sourcing of immediate goods. The findings of the working paper demonstrate that the economic impact of the pandemic cannot be explained solely on the basis of the regional spread of infections and that a region's economic structure is also a key driver of heterogeneity. The findings also demonstrated that regions which rely on goods sourced from regions which have been badly affected by the pandemic have seen a substantial increase in the number of employees in short-time work. </w:t>
            </w:r>
          </w:p>
        </w:tc>
      </w:tr>
      <w:tr w:rsidR="00EA3355" w:rsidRPr="000218B2" w14:paraId="136B6FFB" w14:textId="77777777" w:rsidTr="001C278A">
        <w:trPr>
          <w:cantSplit/>
        </w:trPr>
        <w:tc>
          <w:tcPr>
            <w:tcW w:w="1097" w:type="dxa"/>
            <w:shd w:val="clear" w:color="auto" w:fill="auto"/>
          </w:tcPr>
          <w:p w14:paraId="1B96B16B" w14:textId="7882C2FB" w:rsidR="00EA3355" w:rsidRPr="002229FD" w:rsidRDefault="00EA3355" w:rsidP="00407D0A">
            <w:pPr>
              <w:jc w:val="left"/>
              <w:rPr>
                <w:b/>
                <w:sz w:val="17"/>
                <w:szCs w:val="17"/>
              </w:rPr>
            </w:pPr>
            <w:r w:rsidRPr="002229FD">
              <w:rPr>
                <w:b/>
                <w:sz w:val="17"/>
                <w:szCs w:val="17"/>
              </w:rPr>
              <w:t>1 March 2021</w:t>
            </w:r>
          </w:p>
        </w:tc>
        <w:tc>
          <w:tcPr>
            <w:tcW w:w="1880" w:type="dxa"/>
            <w:shd w:val="clear" w:color="auto" w:fill="auto"/>
          </w:tcPr>
          <w:p w14:paraId="7F212451" w14:textId="41044124" w:rsidR="00EA3355" w:rsidRPr="002229FD" w:rsidRDefault="00A324C3" w:rsidP="00407D0A">
            <w:pPr>
              <w:jc w:val="left"/>
              <w:rPr>
                <w:sz w:val="17"/>
                <w:szCs w:val="17"/>
              </w:rPr>
            </w:pPr>
            <w:hyperlink r:id="rId221" w:history="1">
              <w:r w:rsidR="00EA3355" w:rsidRPr="002229FD">
                <w:rPr>
                  <w:rStyle w:val="Hyperlink"/>
                  <w:sz w:val="17"/>
                  <w:szCs w:val="17"/>
                </w:rPr>
                <w:t xml:space="preserve">The coronavirus crisis and SMEs - Speech by Christine </w:t>
              </w:r>
              <w:proofErr w:type="spellStart"/>
              <w:r w:rsidR="00EA3355" w:rsidRPr="002229FD">
                <w:rPr>
                  <w:rStyle w:val="Hyperlink"/>
                  <w:sz w:val="17"/>
                  <w:szCs w:val="17"/>
                </w:rPr>
                <w:t>Lagarde</w:t>
              </w:r>
              <w:proofErr w:type="spellEnd"/>
              <w:r w:rsidR="00EA3355" w:rsidRPr="002229FD">
                <w:rPr>
                  <w:rStyle w:val="Hyperlink"/>
                  <w:sz w:val="17"/>
                  <w:szCs w:val="17"/>
                </w:rPr>
                <w:t>, President of the ECB, at the “</w:t>
              </w:r>
              <w:proofErr w:type="spellStart"/>
              <w:r w:rsidR="00EA3355" w:rsidRPr="002229FD">
                <w:rPr>
                  <w:rStyle w:val="Hyperlink"/>
                  <w:sz w:val="17"/>
                  <w:szCs w:val="17"/>
                </w:rPr>
                <w:t>Jahresimpuls</w:t>
              </w:r>
              <w:proofErr w:type="spellEnd"/>
              <w:r w:rsidR="00EA3355" w:rsidRPr="002229FD">
                <w:rPr>
                  <w:rStyle w:val="Hyperlink"/>
                  <w:sz w:val="17"/>
                  <w:szCs w:val="17"/>
                </w:rPr>
                <w:t xml:space="preserve"> </w:t>
              </w:r>
              <w:proofErr w:type="spellStart"/>
              <w:r w:rsidR="00EA3355" w:rsidRPr="002229FD">
                <w:rPr>
                  <w:rStyle w:val="Hyperlink"/>
                  <w:sz w:val="17"/>
                  <w:szCs w:val="17"/>
                </w:rPr>
                <w:t>Mittelstand</w:t>
              </w:r>
              <w:proofErr w:type="spellEnd"/>
              <w:r w:rsidR="00EA3355" w:rsidRPr="002229FD">
                <w:rPr>
                  <w:rStyle w:val="Hyperlink"/>
                  <w:sz w:val="17"/>
                  <w:szCs w:val="17"/>
                </w:rPr>
                <w:t xml:space="preserve"> 2021” of </w:t>
              </w:r>
              <w:proofErr w:type="spellStart"/>
              <w:r w:rsidR="00EA3355" w:rsidRPr="002229FD">
                <w:rPr>
                  <w:rStyle w:val="Hyperlink"/>
                  <w:sz w:val="17"/>
                  <w:szCs w:val="17"/>
                </w:rPr>
                <w:t>Bundesverband</w:t>
              </w:r>
              <w:proofErr w:type="spellEnd"/>
              <w:r w:rsidR="00EA3355" w:rsidRPr="002229FD">
                <w:rPr>
                  <w:rStyle w:val="Hyperlink"/>
                  <w:sz w:val="17"/>
                  <w:szCs w:val="17"/>
                </w:rPr>
                <w:t xml:space="preserve"> </w:t>
              </w:r>
              <w:proofErr w:type="spellStart"/>
              <w:r w:rsidR="00EA3355" w:rsidRPr="002229FD">
                <w:rPr>
                  <w:rStyle w:val="Hyperlink"/>
                  <w:sz w:val="17"/>
                  <w:szCs w:val="17"/>
                </w:rPr>
                <w:t>Mittelständische</w:t>
              </w:r>
              <w:proofErr w:type="spellEnd"/>
              <w:r w:rsidR="00EA3355" w:rsidRPr="002229FD">
                <w:rPr>
                  <w:rStyle w:val="Hyperlink"/>
                  <w:sz w:val="17"/>
                  <w:szCs w:val="17"/>
                </w:rPr>
                <w:t xml:space="preserve"> </w:t>
              </w:r>
              <w:proofErr w:type="spellStart"/>
              <w:r w:rsidR="00EA3355" w:rsidRPr="002229FD">
                <w:rPr>
                  <w:rStyle w:val="Hyperlink"/>
                  <w:sz w:val="17"/>
                  <w:szCs w:val="17"/>
                </w:rPr>
                <w:t>Wirtschaft</w:t>
              </w:r>
              <w:proofErr w:type="spellEnd"/>
            </w:hyperlink>
          </w:p>
        </w:tc>
        <w:tc>
          <w:tcPr>
            <w:tcW w:w="1819" w:type="dxa"/>
            <w:shd w:val="clear" w:color="auto" w:fill="auto"/>
          </w:tcPr>
          <w:p w14:paraId="357B3E73" w14:textId="77777777" w:rsidR="00EA3355" w:rsidRPr="002229FD" w:rsidRDefault="00EA3355" w:rsidP="00407D0A">
            <w:pPr>
              <w:jc w:val="left"/>
              <w:rPr>
                <w:sz w:val="17"/>
                <w:szCs w:val="17"/>
              </w:rPr>
            </w:pPr>
          </w:p>
        </w:tc>
        <w:tc>
          <w:tcPr>
            <w:tcW w:w="2155" w:type="dxa"/>
            <w:shd w:val="clear" w:color="auto" w:fill="auto"/>
          </w:tcPr>
          <w:p w14:paraId="5417818A" w14:textId="08AEEE4F" w:rsidR="00EA3355" w:rsidRPr="002229FD" w:rsidRDefault="00D72273" w:rsidP="00407D0A">
            <w:pPr>
              <w:jc w:val="left"/>
              <w:rPr>
                <w:sz w:val="17"/>
                <w:szCs w:val="17"/>
              </w:rPr>
            </w:pPr>
            <w:r w:rsidRPr="002229FD">
              <w:rPr>
                <w:sz w:val="17"/>
                <w:szCs w:val="17"/>
              </w:rPr>
              <w:t>ECB supervised financial institutions, SMEs</w:t>
            </w:r>
          </w:p>
        </w:tc>
        <w:tc>
          <w:tcPr>
            <w:tcW w:w="5523" w:type="dxa"/>
            <w:shd w:val="clear" w:color="auto" w:fill="auto"/>
          </w:tcPr>
          <w:p w14:paraId="24D17B14" w14:textId="7DC14864" w:rsidR="00EA3355" w:rsidRPr="002229FD" w:rsidRDefault="00153734" w:rsidP="00D72273">
            <w:pPr>
              <w:jc w:val="left"/>
              <w:rPr>
                <w:sz w:val="17"/>
                <w:szCs w:val="17"/>
              </w:rPr>
            </w:pPr>
            <w:r w:rsidRPr="002229FD">
              <w:rPr>
                <w:sz w:val="17"/>
                <w:szCs w:val="17"/>
              </w:rPr>
              <w:t xml:space="preserve">Ms Christine </w:t>
            </w:r>
            <w:proofErr w:type="spellStart"/>
            <w:r w:rsidRPr="002229FD">
              <w:rPr>
                <w:sz w:val="17"/>
                <w:szCs w:val="17"/>
              </w:rPr>
              <w:t>Lagarde</w:t>
            </w:r>
            <w:proofErr w:type="spellEnd"/>
            <w:r w:rsidRPr="002229FD">
              <w:rPr>
                <w:sz w:val="17"/>
                <w:szCs w:val="17"/>
              </w:rPr>
              <w:t xml:space="preserve">, President of the ECB </w:t>
            </w:r>
            <w:r w:rsidR="00D72273" w:rsidRPr="002229FD">
              <w:rPr>
                <w:sz w:val="17"/>
                <w:szCs w:val="17"/>
              </w:rPr>
              <w:t>gave</w:t>
            </w:r>
            <w:r w:rsidRPr="002229FD">
              <w:rPr>
                <w:sz w:val="17"/>
                <w:szCs w:val="17"/>
              </w:rPr>
              <w:t xml:space="preserve"> a speech at the “</w:t>
            </w:r>
            <w:proofErr w:type="spellStart"/>
            <w:r w:rsidRPr="002229FD">
              <w:rPr>
                <w:sz w:val="17"/>
                <w:szCs w:val="17"/>
              </w:rPr>
              <w:t>Jahresimpuls</w:t>
            </w:r>
            <w:proofErr w:type="spellEnd"/>
            <w:r w:rsidRPr="002229FD">
              <w:rPr>
                <w:sz w:val="17"/>
                <w:szCs w:val="17"/>
              </w:rPr>
              <w:t xml:space="preserve"> </w:t>
            </w:r>
            <w:proofErr w:type="spellStart"/>
            <w:r w:rsidRPr="002229FD">
              <w:rPr>
                <w:sz w:val="17"/>
                <w:szCs w:val="17"/>
              </w:rPr>
              <w:t>Mittelstand</w:t>
            </w:r>
            <w:proofErr w:type="spellEnd"/>
            <w:r w:rsidRPr="002229FD">
              <w:rPr>
                <w:sz w:val="17"/>
                <w:szCs w:val="17"/>
              </w:rPr>
              <w:t xml:space="preserve"> 2021” of </w:t>
            </w:r>
            <w:proofErr w:type="spellStart"/>
            <w:r w:rsidRPr="002229FD">
              <w:rPr>
                <w:sz w:val="17"/>
                <w:szCs w:val="17"/>
              </w:rPr>
              <w:t>Bundesverband</w:t>
            </w:r>
            <w:proofErr w:type="spellEnd"/>
            <w:r w:rsidRPr="002229FD">
              <w:rPr>
                <w:sz w:val="17"/>
                <w:szCs w:val="17"/>
              </w:rPr>
              <w:t xml:space="preserve"> </w:t>
            </w:r>
            <w:proofErr w:type="spellStart"/>
            <w:r w:rsidRPr="002229FD">
              <w:rPr>
                <w:sz w:val="17"/>
                <w:szCs w:val="17"/>
              </w:rPr>
              <w:t>Mittelständische</w:t>
            </w:r>
            <w:proofErr w:type="spellEnd"/>
            <w:r w:rsidRPr="002229FD">
              <w:rPr>
                <w:sz w:val="17"/>
                <w:szCs w:val="17"/>
              </w:rPr>
              <w:t xml:space="preserve"> </w:t>
            </w:r>
            <w:proofErr w:type="spellStart"/>
            <w:r w:rsidRPr="002229FD">
              <w:rPr>
                <w:sz w:val="17"/>
                <w:szCs w:val="17"/>
              </w:rPr>
              <w:t>Wirtschaft</w:t>
            </w:r>
            <w:proofErr w:type="spellEnd"/>
            <w:r w:rsidRPr="002229FD">
              <w:rPr>
                <w:sz w:val="17"/>
                <w:szCs w:val="17"/>
              </w:rPr>
              <w:t xml:space="preserve"> in Frankfurt on 1 March 2021 in which she discussed the impact of the COVID-19 pandemic on small and medium-sized enterprises (</w:t>
            </w:r>
            <w:r w:rsidRPr="002229FD">
              <w:rPr>
                <w:b/>
                <w:sz w:val="17"/>
                <w:szCs w:val="17"/>
              </w:rPr>
              <w:t>SME</w:t>
            </w:r>
            <w:r w:rsidRPr="002229FD">
              <w:rPr>
                <w:sz w:val="17"/>
                <w:szCs w:val="17"/>
              </w:rPr>
              <w:t xml:space="preserve">s). Ms </w:t>
            </w:r>
            <w:proofErr w:type="spellStart"/>
            <w:r w:rsidRPr="002229FD">
              <w:rPr>
                <w:sz w:val="17"/>
                <w:szCs w:val="17"/>
              </w:rPr>
              <w:t>Lagarde</w:t>
            </w:r>
            <w:proofErr w:type="spellEnd"/>
            <w:r w:rsidRPr="002229FD">
              <w:rPr>
                <w:sz w:val="17"/>
                <w:szCs w:val="17"/>
              </w:rPr>
              <w:t xml:space="preserve"> noted that although the manufacturing sector has begun to recover, activity levels in the services sector remain reduced as a result of the social distancing measures which are currently place. Ms </w:t>
            </w:r>
            <w:proofErr w:type="spellStart"/>
            <w:r w:rsidRPr="002229FD">
              <w:rPr>
                <w:sz w:val="17"/>
                <w:szCs w:val="17"/>
              </w:rPr>
              <w:t>Lagarde</w:t>
            </w:r>
            <w:proofErr w:type="spellEnd"/>
            <w:r w:rsidRPr="002229FD">
              <w:rPr>
                <w:sz w:val="17"/>
                <w:szCs w:val="17"/>
              </w:rPr>
              <w:t xml:space="preserve"> noted that this has particularly affected SMEs as they employ approximately 75% of the people working in the sectors which have been most impacted by the crisis. Ms </w:t>
            </w:r>
            <w:proofErr w:type="spellStart"/>
            <w:r w:rsidRPr="002229FD">
              <w:rPr>
                <w:sz w:val="17"/>
                <w:szCs w:val="17"/>
              </w:rPr>
              <w:t>Lagarde</w:t>
            </w:r>
            <w:proofErr w:type="spellEnd"/>
            <w:r w:rsidRPr="002229FD">
              <w:rPr>
                <w:sz w:val="17"/>
                <w:szCs w:val="17"/>
              </w:rPr>
              <w:t xml:space="preserve"> emphasised the role policymakers have in </w:t>
            </w:r>
            <w:r w:rsidR="00D72273" w:rsidRPr="002229FD">
              <w:rPr>
                <w:sz w:val="17"/>
                <w:szCs w:val="17"/>
              </w:rPr>
              <w:t>terms of providing support measures to SMEs. Important measures which have been taken by the ECB include the launch of a pandemic emergency purchase programme (</w:t>
            </w:r>
            <w:r w:rsidR="00D72273" w:rsidRPr="002229FD">
              <w:rPr>
                <w:b/>
                <w:sz w:val="17"/>
                <w:szCs w:val="17"/>
              </w:rPr>
              <w:t>PEPP</w:t>
            </w:r>
            <w:r w:rsidR="00D72273" w:rsidRPr="002229FD">
              <w:rPr>
                <w:sz w:val="17"/>
                <w:szCs w:val="17"/>
              </w:rPr>
              <w:t>), in order to stabilise financial markets and the recalibration of targeted longer-term refinancing operations (</w:t>
            </w:r>
            <w:r w:rsidR="00D72273" w:rsidRPr="002229FD">
              <w:rPr>
                <w:b/>
                <w:sz w:val="17"/>
                <w:szCs w:val="17"/>
              </w:rPr>
              <w:t>TLTRO III</w:t>
            </w:r>
            <w:r w:rsidR="00D72273" w:rsidRPr="002229FD">
              <w:rPr>
                <w:sz w:val="17"/>
                <w:szCs w:val="17"/>
              </w:rPr>
              <w:t xml:space="preserve">), the purpose of which was to encourage banks to lend additional funds to firms. Ms </w:t>
            </w:r>
            <w:proofErr w:type="spellStart"/>
            <w:r w:rsidR="00D72273" w:rsidRPr="002229FD">
              <w:rPr>
                <w:sz w:val="17"/>
                <w:szCs w:val="17"/>
              </w:rPr>
              <w:t>Lagarde</w:t>
            </w:r>
            <w:proofErr w:type="spellEnd"/>
            <w:r w:rsidR="00D72273" w:rsidRPr="002229FD">
              <w:rPr>
                <w:sz w:val="17"/>
                <w:szCs w:val="17"/>
              </w:rPr>
              <w:t xml:space="preserve"> noted that the rollout of vaccines has created a more positive economic outlook but that it is essential nonetheless to ensure that these support measures for SMEs remain in place for as long as is necessary. </w:t>
            </w:r>
          </w:p>
        </w:tc>
      </w:tr>
      <w:tr w:rsidR="00EA3355" w:rsidRPr="000218B2" w14:paraId="42988952" w14:textId="77777777" w:rsidTr="001C278A">
        <w:trPr>
          <w:cantSplit/>
        </w:trPr>
        <w:tc>
          <w:tcPr>
            <w:tcW w:w="1097" w:type="dxa"/>
            <w:shd w:val="clear" w:color="auto" w:fill="auto"/>
          </w:tcPr>
          <w:p w14:paraId="10B49E19" w14:textId="51AF7903" w:rsidR="00EA3355" w:rsidRPr="002229FD" w:rsidRDefault="00EA3355" w:rsidP="00407D0A">
            <w:pPr>
              <w:jc w:val="left"/>
              <w:rPr>
                <w:b/>
                <w:sz w:val="17"/>
                <w:szCs w:val="17"/>
              </w:rPr>
            </w:pPr>
            <w:r w:rsidRPr="002229FD">
              <w:rPr>
                <w:b/>
                <w:sz w:val="17"/>
                <w:szCs w:val="17"/>
              </w:rPr>
              <w:t>1 March 2021</w:t>
            </w:r>
          </w:p>
        </w:tc>
        <w:tc>
          <w:tcPr>
            <w:tcW w:w="1880" w:type="dxa"/>
            <w:shd w:val="clear" w:color="auto" w:fill="auto"/>
          </w:tcPr>
          <w:p w14:paraId="7C21E5BE" w14:textId="325045DB" w:rsidR="00EA3355" w:rsidRPr="002229FD" w:rsidRDefault="00A324C3" w:rsidP="00407D0A">
            <w:pPr>
              <w:jc w:val="left"/>
              <w:rPr>
                <w:sz w:val="17"/>
                <w:szCs w:val="17"/>
              </w:rPr>
            </w:pPr>
            <w:hyperlink r:id="rId222" w:history="1">
              <w:proofErr w:type="spellStart"/>
              <w:r w:rsidR="00EA3355" w:rsidRPr="002229FD">
                <w:rPr>
                  <w:rStyle w:val="Hyperlink"/>
                  <w:sz w:val="17"/>
                  <w:szCs w:val="17"/>
                </w:rPr>
                <w:t>Macroprudential</w:t>
              </w:r>
              <w:proofErr w:type="spellEnd"/>
              <w:r w:rsidR="00EA3355" w:rsidRPr="002229FD">
                <w:rPr>
                  <w:rStyle w:val="Hyperlink"/>
                  <w:sz w:val="17"/>
                  <w:szCs w:val="17"/>
                </w:rPr>
                <w:t xml:space="preserve"> policy after the COVID-19 pandemic - Panel contribution by Luis de Guindos, Vice-President of the ECB, at the </w:t>
              </w:r>
              <w:proofErr w:type="spellStart"/>
              <w:r w:rsidR="00EA3355" w:rsidRPr="002229FD">
                <w:rPr>
                  <w:rStyle w:val="Hyperlink"/>
                  <w:sz w:val="17"/>
                  <w:szCs w:val="17"/>
                </w:rPr>
                <w:t>Banque</w:t>
              </w:r>
              <w:proofErr w:type="spellEnd"/>
              <w:r w:rsidR="00EA3355" w:rsidRPr="002229FD">
                <w:rPr>
                  <w:rStyle w:val="Hyperlink"/>
                  <w:sz w:val="17"/>
                  <w:szCs w:val="17"/>
                </w:rPr>
                <w:t xml:space="preserve"> de France / Sciences Po Financial Stability Review Conference 2021 “Is </w:t>
              </w:r>
              <w:proofErr w:type="spellStart"/>
              <w:r w:rsidR="00EA3355" w:rsidRPr="002229FD">
                <w:rPr>
                  <w:rStyle w:val="Hyperlink"/>
                  <w:sz w:val="17"/>
                  <w:szCs w:val="17"/>
                </w:rPr>
                <w:t>macroprudential</w:t>
              </w:r>
              <w:proofErr w:type="spellEnd"/>
              <w:r w:rsidR="00EA3355" w:rsidRPr="002229FD">
                <w:rPr>
                  <w:rStyle w:val="Hyperlink"/>
                  <w:sz w:val="17"/>
                  <w:szCs w:val="17"/>
                </w:rPr>
                <w:t xml:space="preserve"> policy resilient to the pandemic?”</w:t>
              </w:r>
            </w:hyperlink>
          </w:p>
        </w:tc>
        <w:tc>
          <w:tcPr>
            <w:tcW w:w="1819" w:type="dxa"/>
            <w:shd w:val="clear" w:color="auto" w:fill="auto"/>
          </w:tcPr>
          <w:p w14:paraId="3B77A0DC" w14:textId="77777777" w:rsidR="00EA3355" w:rsidRPr="002229FD" w:rsidRDefault="00EA3355" w:rsidP="00407D0A">
            <w:pPr>
              <w:jc w:val="left"/>
              <w:rPr>
                <w:sz w:val="17"/>
                <w:szCs w:val="17"/>
              </w:rPr>
            </w:pPr>
          </w:p>
        </w:tc>
        <w:tc>
          <w:tcPr>
            <w:tcW w:w="2155" w:type="dxa"/>
            <w:shd w:val="clear" w:color="auto" w:fill="auto"/>
          </w:tcPr>
          <w:p w14:paraId="7762F50E" w14:textId="306F4B60" w:rsidR="00EA3355" w:rsidRPr="002229FD" w:rsidRDefault="00153734" w:rsidP="00407D0A">
            <w:pPr>
              <w:jc w:val="left"/>
              <w:rPr>
                <w:sz w:val="17"/>
                <w:szCs w:val="17"/>
              </w:rPr>
            </w:pPr>
            <w:r w:rsidRPr="002229FD">
              <w:rPr>
                <w:sz w:val="17"/>
                <w:szCs w:val="17"/>
              </w:rPr>
              <w:t>ECB supervised financial institutions</w:t>
            </w:r>
          </w:p>
        </w:tc>
        <w:tc>
          <w:tcPr>
            <w:tcW w:w="5523" w:type="dxa"/>
            <w:shd w:val="clear" w:color="auto" w:fill="auto"/>
          </w:tcPr>
          <w:p w14:paraId="351DAC43" w14:textId="7AE78489" w:rsidR="0028002E" w:rsidRPr="00F40C63" w:rsidRDefault="0028002E" w:rsidP="0028002E">
            <w:pPr>
              <w:jc w:val="left"/>
              <w:rPr>
                <w:bCs/>
                <w:sz w:val="17"/>
                <w:szCs w:val="17"/>
              </w:rPr>
            </w:pPr>
            <w:r w:rsidRPr="00F40C63">
              <w:rPr>
                <w:sz w:val="17"/>
                <w:szCs w:val="17"/>
              </w:rPr>
              <w:t xml:space="preserve">Mr </w:t>
            </w:r>
            <w:r w:rsidRPr="00F40C63">
              <w:rPr>
                <w:bCs/>
                <w:sz w:val="17"/>
                <w:szCs w:val="17"/>
              </w:rPr>
              <w:t xml:space="preserve">Luis de Guindos, Vice-President of the ECB, gave a speech at the </w:t>
            </w:r>
            <w:proofErr w:type="spellStart"/>
            <w:r w:rsidRPr="00F40C63">
              <w:rPr>
                <w:bCs/>
                <w:sz w:val="17"/>
                <w:szCs w:val="17"/>
              </w:rPr>
              <w:t>Banque</w:t>
            </w:r>
            <w:proofErr w:type="spellEnd"/>
            <w:r w:rsidRPr="00F40C63">
              <w:rPr>
                <w:bCs/>
                <w:sz w:val="17"/>
                <w:szCs w:val="17"/>
              </w:rPr>
              <w:t xml:space="preserve"> de France / Sciences Po Financial Stability Review Conference 2021 on 1 March 2021. Mr de Guindos discussed the future of </w:t>
            </w:r>
            <w:proofErr w:type="spellStart"/>
            <w:r w:rsidRPr="00F40C63">
              <w:rPr>
                <w:bCs/>
                <w:sz w:val="17"/>
                <w:szCs w:val="17"/>
              </w:rPr>
              <w:t>macroprudential</w:t>
            </w:r>
            <w:proofErr w:type="spellEnd"/>
            <w:r w:rsidRPr="00F40C63">
              <w:rPr>
                <w:bCs/>
                <w:sz w:val="17"/>
                <w:szCs w:val="17"/>
              </w:rPr>
              <w:t xml:space="preserve"> policy in the euro area in the wake of pandemic and noted that strong government support measures in addition to relief measures taken by macro and micro-prudential authorities have helped to absorb some of the economic shock which has been caused by the COVID-19 crisis. Mr de Guindos noted that two key challenges lie ahead particularly in terms of the creation of a "</w:t>
            </w:r>
            <w:proofErr w:type="spellStart"/>
            <w:r w:rsidRPr="00F40C63">
              <w:rPr>
                <w:bCs/>
                <w:sz w:val="17"/>
                <w:szCs w:val="17"/>
              </w:rPr>
              <w:t>macroprudential</w:t>
            </w:r>
            <w:proofErr w:type="spellEnd"/>
            <w:r w:rsidRPr="00F40C63">
              <w:rPr>
                <w:bCs/>
                <w:sz w:val="17"/>
                <w:szCs w:val="17"/>
              </w:rPr>
              <w:t xml:space="preserve"> space" and the complementarities between </w:t>
            </w:r>
            <w:proofErr w:type="spellStart"/>
            <w:r w:rsidRPr="00F40C63">
              <w:rPr>
                <w:bCs/>
                <w:sz w:val="17"/>
                <w:szCs w:val="17"/>
              </w:rPr>
              <w:t>macroprudential</w:t>
            </w:r>
            <w:proofErr w:type="spellEnd"/>
            <w:r w:rsidRPr="00F40C63">
              <w:rPr>
                <w:bCs/>
                <w:sz w:val="17"/>
                <w:szCs w:val="17"/>
              </w:rPr>
              <w:t xml:space="preserve"> and monetary policy. Mr de Guindos stated that effective </w:t>
            </w:r>
            <w:proofErr w:type="spellStart"/>
            <w:r w:rsidRPr="00F40C63">
              <w:rPr>
                <w:bCs/>
                <w:sz w:val="17"/>
                <w:szCs w:val="17"/>
              </w:rPr>
              <w:t>macroprudential</w:t>
            </w:r>
            <w:proofErr w:type="spellEnd"/>
            <w:r w:rsidRPr="00F40C63">
              <w:rPr>
                <w:bCs/>
                <w:sz w:val="17"/>
                <w:szCs w:val="17"/>
              </w:rPr>
              <w:t xml:space="preserve"> policy is an important tool which can be used to mitigate the short-term effects of the pandemic on the euro economy.  Mr de Guindos concluded by noting that the effectiveness of </w:t>
            </w:r>
            <w:proofErr w:type="spellStart"/>
            <w:r w:rsidRPr="00F40C63">
              <w:rPr>
                <w:bCs/>
                <w:sz w:val="17"/>
                <w:szCs w:val="17"/>
              </w:rPr>
              <w:t>macroprudential</w:t>
            </w:r>
            <w:proofErr w:type="spellEnd"/>
            <w:r w:rsidRPr="00F40C63">
              <w:rPr>
                <w:bCs/>
                <w:sz w:val="17"/>
                <w:szCs w:val="17"/>
              </w:rPr>
              <w:t xml:space="preserve"> policy may be further enhanced by the implementation of changes in relation to the governance of </w:t>
            </w:r>
            <w:proofErr w:type="spellStart"/>
            <w:r w:rsidRPr="00F40C63">
              <w:rPr>
                <w:bCs/>
                <w:sz w:val="17"/>
                <w:szCs w:val="17"/>
              </w:rPr>
              <w:t>macroprudential</w:t>
            </w:r>
            <w:proofErr w:type="spellEnd"/>
            <w:r w:rsidRPr="00F40C63">
              <w:rPr>
                <w:bCs/>
                <w:sz w:val="17"/>
                <w:szCs w:val="17"/>
              </w:rPr>
              <w:t xml:space="preserve"> policy in the European monetary and banking union</w:t>
            </w:r>
            <w:r w:rsidR="00153734" w:rsidRPr="00F40C63">
              <w:rPr>
                <w:bCs/>
                <w:sz w:val="17"/>
                <w:szCs w:val="17"/>
              </w:rPr>
              <w:t xml:space="preserve"> in order to </w:t>
            </w:r>
            <w:proofErr w:type="spellStart"/>
            <w:r w:rsidR="00153734" w:rsidRPr="00F40C63">
              <w:rPr>
                <w:bCs/>
                <w:sz w:val="17"/>
                <w:szCs w:val="17"/>
              </w:rPr>
              <w:t>capitialise</w:t>
            </w:r>
            <w:proofErr w:type="spellEnd"/>
            <w:r w:rsidR="00153734" w:rsidRPr="00F40C63">
              <w:rPr>
                <w:bCs/>
                <w:sz w:val="17"/>
                <w:szCs w:val="17"/>
              </w:rPr>
              <w:t xml:space="preserve"> on the complementarities between monetary and </w:t>
            </w:r>
            <w:proofErr w:type="spellStart"/>
            <w:r w:rsidR="00153734" w:rsidRPr="00F40C63">
              <w:rPr>
                <w:bCs/>
                <w:sz w:val="17"/>
                <w:szCs w:val="17"/>
              </w:rPr>
              <w:t>macroprudential</w:t>
            </w:r>
            <w:proofErr w:type="spellEnd"/>
            <w:r w:rsidR="00153734" w:rsidRPr="00F40C63">
              <w:rPr>
                <w:bCs/>
                <w:sz w:val="17"/>
                <w:szCs w:val="17"/>
              </w:rPr>
              <w:t xml:space="preserve"> policy.</w:t>
            </w:r>
          </w:p>
          <w:p w14:paraId="2A6011D3" w14:textId="640FB856" w:rsidR="00EA3355" w:rsidRPr="002229FD" w:rsidRDefault="00EA3355" w:rsidP="00C14317">
            <w:pPr>
              <w:jc w:val="left"/>
              <w:rPr>
                <w:b/>
                <w:sz w:val="17"/>
                <w:szCs w:val="17"/>
              </w:rPr>
            </w:pPr>
          </w:p>
        </w:tc>
      </w:tr>
      <w:tr w:rsidR="00F40C63" w:rsidRPr="000218B2" w14:paraId="63A236F2" w14:textId="77777777" w:rsidTr="001C278A">
        <w:trPr>
          <w:cantSplit/>
        </w:trPr>
        <w:tc>
          <w:tcPr>
            <w:tcW w:w="1097" w:type="dxa"/>
            <w:shd w:val="clear" w:color="auto" w:fill="auto"/>
          </w:tcPr>
          <w:p w14:paraId="3F9F96B5" w14:textId="21487C12" w:rsidR="00F40C63" w:rsidRPr="00E738AC" w:rsidRDefault="00F40C63" w:rsidP="00407D0A">
            <w:pPr>
              <w:jc w:val="left"/>
              <w:rPr>
                <w:b/>
                <w:sz w:val="17"/>
                <w:szCs w:val="17"/>
              </w:rPr>
            </w:pPr>
            <w:r w:rsidRPr="00E738AC">
              <w:rPr>
                <w:b/>
                <w:sz w:val="17"/>
                <w:szCs w:val="17"/>
              </w:rPr>
              <w:t>19 March 2021</w:t>
            </w:r>
          </w:p>
        </w:tc>
        <w:tc>
          <w:tcPr>
            <w:tcW w:w="1880" w:type="dxa"/>
            <w:shd w:val="clear" w:color="auto" w:fill="auto"/>
          </w:tcPr>
          <w:p w14:paraId="6865853A" w14:textId="2E945D6E" w:rsidR="00F40C63" w:rsidRPr="00E738AC" w:rsidRDefault="00A324C3" w:rsidP="00407D0A">
            <w:pPr>
              <w:jc w:val="left"/>
              <w:rPr>
                <w:sz w:val="17"/>
                <w:szCs w:val="17"/>
              </w:rPr>
            </w:pPr>
            <w:hyperlink r:id="rId223" w:anchor=":~:text=Best%20practices%20applied%20by%20financial%20market%20infrastructures%20in%20their%20business%20continuity%20plans%20during%20the%20COVID-19%20pandemic" w:history="1">
              <w:r w:rsidR="00F40C63" w:rsidRPr="00E738AC">
                <w:rPr>
                  <w:rStyle w:val="Hyperlink"/>
                  <w:sz w:val="17"/>
                  <w:szCs w:val="17"/>
                </w:rPr>
                <w:t>Best practices applied by financial market infrastructures in their business continuity plans during the COVID-19 pandemic</w:t>
              </w:r>
            </w:hyperlink>
          </w:p>
        </w:tc>
        <w:tc>
          <w:tcPr>
            <w:tcW w:w="1819" w:type="dxa"/>
            <w:shd w:val="clear" w:color="auto" w:fill="auto"/>
          </w:tcPr>
          <w:p w14:paraId="19B4FC5B" w14:textId="77777777" w:rsidR="00F40C63" w:rsidRPr="00E738AC" w:rsidRDefault="00F40C63" w:rsidP="00407D0A">
            <w:pPr>
              <w:jc w:val="left"/>
              <w:rPr>
                <w:sz w:val="17"/>
                <w:szCs w:val="17"/>
              </w:rPr>
            </w:pPr>
          </w:p>
        </w:tc>
        <w:tc>
          <w:tcPr>
            <w:tcW w:w="2155" w:type="dxa"/>
            <w:shd w:val="clear" w:color="auto" w:fill="auto"/>
          </w:tcPr>
          <w:p w14:paraId="4F41F351" w14:textId="5ECD9780" w:rsidR="00F40C63" w:rsidRPr="00E738AC" w:rsidRDefault="00F40C63" w:rsidP="00407D0A">
            <w:pPr>
              <w:jc w:val="left"/>
              <w:rPr>
                <w:sz w:val="17"/>
                <w:szCs w:val="17"/>
              </w:rPr>
            </w:pPr>
            <w:r w:rsidRPr="00E738AC">
              <w:rPr>
                <w:sz w:val="17"/>
                <w:szCs w:val="17"/>
              </w:rPr>
              <w:t>ECB supervised financial institutions</w:t>
            </w:r>
          </w:p>
        </w:tc>
        <w:tc>
          <w:tcPr>
            <w:tcW w:w="5523" w:type="dxa"/>
            <w:shd w:val="clear" w:color="auto" w:fill="auto"/>
          </w:tcPr>
          <w:p w14:paraId="30205679" w14:textId="0879285B" w:rsidR="00F40C63" w:rsidRPr="00E738AC" w:rsidRDefault="00F40C63" w:rsidP="003D290A">
            <w:pPr>
              <w:jc w:val="left"/>
              <w:rPr>
                <w:sz w:val="17"/>
                <w:szCs w:val="17"/>
              </w:rPr>
            </w:pPr>
            <w:r w:rsidRPr="00E738AC">
              <w:rPr>
                <w:sz w:val="17"/>
                <w:szCs w:val="17"/>
              </w:rPr>
              <w:t>The ECB has published a paper outlining the best practices applied by financial market infrastructures (</w:t>
            </w:r>
            <w:r w:rsidRPr="00E738AC">
              <w:rPr>
                <w:b/>
                <w:sz w:val="17"/>
                <w:szCs w:val="17"/>
              </w:rPr>
              <w:t>FMI</w:t>
            </w:r>
            <w:r w:rsidRPr="00E738AC">
              <w:rPr>
                <w:sz w:val="17"/>
                <w:szCs w:val="17"/>
              </w:rPr>
              <w:t>s) in their business continuity plans during the COVID-19 pandemic. The paper aims to support supervisory authorities in their roles in monitoring supervised entities and to identify pandemic-related crisis management market practices which may be applied by payment schemes/systems in their business continuity plans. The paper suggests that the establishment of a 'Pandemic Management Team' and the development of a 'Pandemic Manag</w:t>
            </w:r>
            <w:r w:rsidR="002C7EA3" w:rsidRPr="00E738AC">
              <w:rPr>
                <w:sz w:val="17"/>
                <w:szCs w:val="17"/>
              </w:rPr>
              <w:t xml:space="preserve">ement Plan' are ways in which FMIs may be able to enhance their business continuity arrangements. </w:t>
            </w:r>
            <w:r w:rsidR="003D290A" w:rsidRPr="00E738AC">
              <w:rPr>
                <w:sz w:val="17"/>
                <w:szCs w:val="17"/>
              </w:rPr>
              <w:t>The paper notes that key considerations for FMIs when developing such arrangements may include supply chain issues, staff shortages, emergency legislation and lockdown restrictions.</w:t>
            </w:r>
            <w:r w:rsidR="003E501F" w:rsidRPr="00E738AC">
              <w:rPr>
                <w:sz w:val="17"/>
                <w:szCs w:val="17"/>
              </w:rPr>
              <w:t xml:space="preserve"> </w:t>
            </w:r>
            <w:r w:rsidR="002C7EA3" w:rsidRPr="00E738AC">
              <w:rPr>
                <w:sz w:val="17"/>
                <w:szCs w:val="17"/>
              </w:rPr>
              <w:t>The paper also discusses the Pandemic response process and provides an overview of the recovery measures which have been taken by FMIs in addressing the impact of COVID-19</w:t>
            </w:r>
            <w:r w:rsidR="003D290A" w:rsidRPr="00E738AC">
              <w:rPr>
                <w:sz w:val="17"/>
                <w:szCs w:val="17"/>
              </w:rPr>
              <w:t xml:space="preserve">. </w:t>
            </w:r>
          </w:p>
        </w:tc>
      </w:tr>
      <w:tr w:rsidR="00277081" w:rsidRPr="000218B2" w14:paraId="69BE6F57" w14:textId="77777777" w:rsidTr="001C278A">
        <w:trPr>
          <w:cantSplit/>
        </w:trPr>
        <w:tc>
          <w:tcPr>
            <w:tcW w:w="1097" w:type="dxa"/>
            <w:shd w:val="clear" w:color="auto" w:fill="auto"/>
          </w:tcPr>
          <w:p w14:paraId="224FDA4C" w14:textId="0C1400E0" w:rsidR="00277081" w:rsidRPr="005C2139" w:rsidRDefault="00277081" w:rsidP="00407D0A">
            <w:pPr>
              <w:jc w:val="left"/>
              <w:rPr>
                <w:b/>
                <w:sz w:val="17"/>
                <w:szCs w:val="17"/>
                <w:highlight w:val="yellow"/>
              </w:rPr>
            </w:pPr>
            <w:r w:rsidRPr="00E738AC">
              <w:rPr>
                <w:b/>
                <w:sz w:val="17"/>
                <w:szCs w:val="17"/>
              </w:rPr>
              <w:t>23 March 2021</w:t>
            </w:r>
          </w:p>
        </w:tc>
        <w:tc>
          <w:tcPr>
            <w:tcW w:w="1880" w:type="dxa"/>
            <w:shd w:val="clear" w:color="auto" w:fill="auto"/>
          </w:tcPr>
          <w:p w14:paraId="6C765E83" w14:textId="3809D1B5" w:rsidR="00277081" w:rsidRPr="00E738AC" w:rsidRDefault="00A324C3" w:rsidP="00407D0A">
            <w:pPr>
              <w:jc w:val="left"/>
              <w:rPr>
                <w:sz w:val="17"/>
                <w:szCs w:val="17"/>
              </w:rPr>
            </w:pPr>
            <w:hyperlink r:id="rId224" w:history="1">
              <w:r w:rsidR="00277081" w:rsidRPr="00E738AC">
                <w:rPr>
                  <w:rStyle w:val="Hyperlink"/>
                  <w:sz w:val="17"/>
                  <w:szCs w:val="17"/>
                </w:rPr>
                <w:t>Towards an effective implementation of the EU’s recovery package</w:t>
              </w:r>
            </w:hyperlink>
          </w:p>
        </w:tc>
        <w:tc>
          <w:tcPr>
            <w:tcW w:w="1819" w:type="dxa"/>
            <w:shd w:val="clear" w:color="auto" w:fill="auto"/>
          </w:tcPr>
          <w:p w14:paraId="1414BDAE" w14:textId="77777777" w:rsidR="00277081" w:rsidRPr="00E738AC" w:rsidRDefault="00277081" w:rsidP="00407D0A">
            <w:pPr>
              <w:jc w:val="left"/>
              <w:rPr>
                <w:sz w:val="17"/>
                <w:szCs w:val="17"/>
              </w:rPr>
            </w:pPr>
          </w:p>
        </w:tc>
        <w:tc>
          <w:tcPr>
            <w:tcW w:w="2155" w:type="dxa"/>
            <w:shd w:val="clear" w:color="auto" w:fill="auto"/>
          </w:tcPr>
          <w:p w14:paraId="7ABD79E0" w14:textId="7EE36B17" w:rsidR="00277081" w:rsidRPr="00E738AC" w:rsidRDefault="00277081" w:rsidP="00407D0A">
            <w:pPr>
              <w:jc w:val="left"/>
              <w:rPr>
                <w:sz w:val="17"/>
                <w:szCs w:val="17"/>
              </w:rPr>
            </w:pPr>
            <w:r w:rsidRPr="00E738AC">
              <w:rPr>
                <w:sz w:val="17"/>
                <w:szCs w:val="17"/>
              </w:rPr>
              <w:t>ECB supervised financial institutions</w:t>
            </w:r>
          </w:p>
        </w:tc>
        <w:tc>
          <w:tcPr>
            <w:tcW w:w="5523" w:type="dxa"/>
            <w:shd w:val="clear" w:color="auto" w:fill="auto"/>
          </w:tcPr>
          <w:p w14:paraId="48B30531" w14:textId="28225DB0" w:rsidR="00277081" w:rsidRPr="00E738AC" w:rsidRDefault="00277081" w:rsidP="00277081">
            <w:pPr>
              <w:jc w:val="left"/>
              <w:rPr>
                <w:sz w:val="17"/>
                <w:szCs w:val="17"/>
              </w:rPr>
            </w:pPr>
            <w:r w:rsidRPr="00E738AC">
              <w:rPr>
                <w:sz w:val="17"/>
                <w:szCs w:val="17"/>
              </w:rPr>
              <w:t xml:space="preserve">The ECB has published an Economic Bulletin which considers the implementation of the EU's COVID-19 recovery package. The article notes that while the shock of the pandemic has been experienced throughout the euro area, the economic impact of the crisis has not been the same for all states and that the decline in real GDP from Q4 2019 to Q2 2020 varied between 5% and 22% across euro area countries. </w:t>
            </w:r>
            <w:r w:rsidR="00B0566C" w:rsidRPr="00E738AC">
              <w:rPr>
                <w:sz w:val="17"/>
                <w:szCs w:val="17"/>
              </w:rPr>
              <w:t>This</w:t>
            </w:r>
            <w:r w:rsidRPr="00E738AC">
              <w:rPr>
                <w:sz w:val="17"/>
                <w:szCs w:val="17"/>
              </w:rPr>
              <w:t xml:space="preserve"> can be explained by a number of factors including the differing approaches which have been taken by countries in relation to public health dynamics and containment measures, economic factors, labour and product market resilience and varying degrees of fiscal space. It is expected that </w:t>
            </w:r>
            <w:r w:rsidR="003F4A8E" w:rsidRPr="00E738AC">
              <w:rPr>
                <w:sz w:val="17"/>
                <w:szCs w:val="17"/>
              </w:rPr>
              <w:t xml:space="preserve">during the recovery phase, </w:t>
            </w:r>
            <w:r w:rsidRPr="00E738AC">
              <w:rPr>
                <w:sz w:val="17"/>
                <w:szCs w:val="17"/>
              </w:rPr>
              <w:t xml:space="preserve">these </w:t>
            </w:r>
            <w:r w:rsidR="003F4A8E" w:rsidRPr="00E738AC">
              <w:rPr>
                <w:sz w:val="17"/>
                <w:szCs w:val="17"/>
              </w:rPr>
              <w:t xml:space="preserve">growth differentials will continue and that income convergence in the euro area may be impaired in the medium term. </w:t>
            </w:r>
          </w:p>
          <w:p w14:paraId="6DB8BFF3" w14:textId="77777777" w:rsidR="003F4A8E" w:rsidRPr="00E738AC" w:rsidRDefault="003F4A8E" w:rsidP="00277081">
            <w:pPr>
              <w:jc w:val="left"/>
              <w:rPr>
                <w:sz w:val="17"/>
                <w:szCs w:val="17"/>
              </w:rPr>
            </w:pPr>
          </w:p>
          <w:p w14:paraId="4F34E300" w14:textId="2FC4CB53" w:rsidR="003F4A8E" w:rsidRPr="00E738AC" w:rsidRDefault="003F4A8E" w:rsidP="003F4A8E">
            <w:pPr>
              <w:jc w:val="left"/>
              <w:rPr>
                <w:sz w:val="17"/>
                <w:szCs w:val="17"/>
              </w:rPr>
            </w:pPr>
            <w:r w:rsidRPr="00E738AC">
              <w:rPr>
                <w:sz w:val="17"/>
                <w:szCs w:val="17"/>
              </w:rPr>
              <w:t>The article notes that the European Union’s Next Generation EU (</w:t>
            </w:r>
            <w:r w:rsidRPr="00E738AC">
              <w:rPr>
                <w:b/>
                <w:sz w:val="17"/>
                <w:szCs w:val="17"/>
              </w:rPr>
              <w:t>NGEU</w:t>
            </w:r>
            <w:r w:rsidRPr="00E738AC">
              <w:rPr>
                <w:sz w:val="17"/>
                <w:szCs w:val="17"/>
              </w:rPr>
              <w:t>) instrument which has been in force since 19 February 2021, is an important feature of Europe’s policy response to the pandemic. The instrument aims to support recovery and facilitate the creation of a greener, more digital and more resilient European economy. A key feature of the recover</w:t>
            </w:r>
            <w:r w:rsidR="005C2139" w:rsidRPr="00E738AC">
              <w:rPr>
                <w:sz w:val="17"/>
                <w:szCs w:val="17"/>
              </w:rPr>
              <w:t>y</w:t>
            </w:r>
            <w:r w:rsidRPr="00E738AC">
              <w:rPr>
                <w:sz w:val="17"/>
                <w:szCs w:val="17"/>
              </w:rPr>
              <w:t xml:space="preserve"> package is that the European Commission has been authorised to raise up to €750 billion on the capital markets on behalf of the EU which can be used to provide grants to EU Member States. To avail of this support, Member States are required to prepare recovery and resilience plans with an investment and reform agenda addressing the country-specific recommendations issued in the context of the European Semester. The key objectives of these plans must include climate change and digitalisation. </w:t>
            </w:r>
          </w:p>
          <w:p w14:paraId="6E53AEFC" w14:textId="77777777" w:rsidR="003F4A8E" w:rsidRPr="00E738AC" w:rsidRDefault="003F4A8E" w:rsidP="003F4A8E">
            <w:pPr>
              <w:jc w:val="left"/>
              <w:rPr>
                <w:sz w:val="17"/>
                <w:szCs w:val="17"/>
              </w:rPr>
            </w:pPr>
          </w:p>
          <w:p w14:paraId="48208540" w14:textId="77777777" w:rsidR="003F4A8E" w:rsidRPr="00E738AC" w:rsidRDefault="003F4A8E" w:rsidP="003F4A8E">
            <w:pPr>
              <w:jc w:val="left"/>
              <w:rPr>
                <w:sz w:val="17"/>
                <w:szCs w:val="17"/>
              </w:rPr>
            </w:pPr>
            <w:r w:rsidRPr="00E738AC">
              <w:rPr>
                <w:sz w:val="17"/>
                <w:szCs w:val="17"/>
              </w:rPr>
              <w:t xml:space="preserve">The article notes that the recovery package may facilitate faster, stronger and </w:t>
            </w:r>
            <w:r w:rsidR="00B0566C" w:rsidRPr="00E738AC">
              <w:rPr>
                <w:sz w:val="17"/>
                <w:szCs w:val="17"/>
              </w:rPr>
              <w:t xml:space="preserve">more </w:t>
            </w:r>
            <w:r w:rsidRPr="00E738AC">
              <w:rPr>
                <w:sz w:val="17"/>
                <w:szCs w:val="17"/>
              </w:rPr>
              <w:t xml:space="preserve">uniform economic recovery if implemented correctly and that it has the potential to enhance the resilience and growth potential of the economy in the euro area. </w:t>
            </w:r>
            <w:r w:rsidR="00B0566C" w:rsidRPr="00E738AC">
              <w:rPr>
                <w:sz w:val="17"/>
                <w:szCs w:val="17"/>
              </w:rPr>
              <w:t xml:space="preserve">However an adequate balance of investments and reforms will need to be achieved in order to ensure that the recovery package is effective. </w:t>
            </w:r>
          </w:p>
          <w:p w14:paraId="2515C546" w14:textId="77777777" w:rsidR="00B0566C" w:rsidRPr="00E738AC" w:rsidRDefault="00B0566C" w:rsidP="003F4A8E">
            <w:pPr>
              <w:jc w:val="left"/>
              <w:rPr>
                <w:sz w:val="17"/>
                <w:szCs w:val="17"/>
              </w:rPr>
            </w:pPr>
          </w:p>
          <w:p w14:paraId="51F97305" w14:textId="7DDEF780" w:rsidR="00B0566C" w:rsidRPr="00E738AC" w:rsidRDefault="00B0566C" w:rsidP="003F4A8E">
            <w:pPr>
              <w:jc w:val="left"/>
              <w:rPr>
                <w:sz w:val="17"/>
                <w:szCs w:val="17"/>
              </w:rPr>
            </w:pPr>
            <w:r w:rsidRPr="00E738AC">
              <w:rPr>
                <w:sz w:val="17"/>
                <w:szCs w:val="17"/>
              </w:rPr>
              <w:t xml:space="preserve">In order to mitigate the risk of implementation bottlenecks, administrative capacity will need to be enhanced so as to ensure that recovery funds are absorbed for public spending in a timely and efficient manner. The article concludes by noting that the effective implementation of the recovery package will also require adequate national control and audit systems. </w:t>
            </w:r>
          </w:p>
        </w:tc>
      </w:tr>
      <w:tr w:rsidR="00003826" w:rsidRPr="000218B2" w14:paraId="34932C19" w14:textId="77777777" w:rsidTr="001C278A">
        <w:trPr>
          <w:cantSplit/>
        </w:trPr>
        <w:tc>
          <w:tcPr>
            <w:tcW w:w="1097" w:type="dxa"/>
            <w:shd w:val="clear" w:color="auto" w:fill="auto"/>
          </w:tcPr>
          <w:p w14:paraId="0562C314" w14:textId="5788CAA9" w:rsidR="00003826" w:rsidRPr="00F17AB4" w:rsidRDefault="00003826" w:rsidP="00003826">
            <w:pPr>
              <w:jc w:val="left"/>
              <w:rPr>
                <w:b/>
                <w:sz w:val="17"/>
                <w:szCs w:val="17"/>
              </w:rPr>
            </w:pPr>
            <w:r w:rsidRPr="00F17AB4">
              <w:rPr>
                <w:b/>
                <w:sz w:val="17"/>
                <w:szCs w:val="17"/>
              </w:rPr>
              <w:t>12 April 2021</w:t>
            </w:r>
          </w:p>
        </w:tc>
        <w:tc>
          <w:tcPr>
            <w:tcW w:w="1880" w:type="dxa"/>
            <w:shd w:val="clear" w:color="auto" w:fill="auto"/>
          </w:tcPr>
          <w:p w14:paraId="35D3A3D7" w14:textId="77777777" w:rsidR="00003826" w:rsidRPr="009B53ED" w:rsidRDefault="00A324C3" w:rsidP="00003826">
            <w:pPr>
              <w:jc w:val="left"/>
              <w:rPr>
                <w:sz w:val="17"/>
                <w:szCs w:val="17"/>
              </w:rPr>
            </w:pPr>
            <w:hyperlink r:id="rId225" w:history="1">
              <w:r w:rsidR="00003826" w:rsidRPr="009B53ED">
                <w:rPr>
                  <w:rStyle w:val="Hyperlink"/>
                  <w:sz w:val="17"/>
                  <w:szCs w:val="17"/>
                </w:rPr>
                <w:t>The suspensions of redemptions during the COVID-19 crisis - a case for pre-emptive liquidity measures?</w:t>
              </w:r>
            </w:hyperlink>
            <w:r w:rsidR="00003826" w:rsidRPr="009B53ED">
              <w:rPr>
                <w:sz w:val="17"/>
                <w:szCs w:val="17"/>
              </w:rPr>
              <w:t xml:space="preserve"> </w:t>
            </w:r>
          </w:p>
          <w:p w14:paraId="38E27E6E" w14:textId="77777777" w:rsidR="00003826" w:rsidRPr="009B53ED" w:rsidRDefault="00003826" w:rsidP="00003826">
            <w:pPr>
              <w:jc w:val="left"/>
              <w:rPr>
                <w:sz w:val="17"/>
                <w:szCs w:val="17"/>
              </w:rPr>
            </w:pPr>
          </w:p>
        </w:tc>
        <w:tc>
          <w:tcPr>
            <w:tcW w:w="1819" w:type="dxa"/>
            <w:shd w:val="clear" w:color="auto" w:fill="auto"/>
          </w:tcPr>
          <w:p w14:paraId="64190339" w14:textId="77777777" w:rsidR="00003826" w:rsidRPr="009B53ED" w:rsidRDefault="00003826" w:rsidP="00003826">
            <w:pPr>
              <w:jc w:val="left"/>
              <w:rPr>
                <w:sz w:val="17"/>
                <w:szCs w:val="17"/>
              </w:rPr>
            </w:pPr>
          </w:p>
        </w:tc>
        <w:tc>
          <w:tcPr>
            <w:tcW w:w="2155" w:type="dxa"/>
            <w:shd w:val="clear" w:color="auto" w:fill="auto"/>
          </w:tcPr>
          <w:p w14:paraId="2E9D8391" w14:textId="3C9B6C01" w:rsidR="00003826" w:rsidRPr="00F17AB4" w:rsidRDefault="00E32E4E" w:rsidP="00003826">
            <w:pPr>
              <w:jc w:val="left"/>
              <w:rPr>
                <w:sz w:val="17"/>
                <w:szCs w:val="17"/>
              </w:rPr>
            </w:pPr>
            <w:r w:rsidRPr="00F17AB4">
              <w:rPr>
                <w:sz w:val="17"/>
                <w:szCs w:val="17"/>
              </w:rPr>
              <w:t>Investment Managers and Investment Firms</w:t>
            </w:r>
          </w:p>
        </w:tc>
        <w:tc>
          <w:tcPr>
            <w:tcW w:w="5523" w:type="dxa"/>
            <w:shd w:val="clear" w:color="auto" w:fill="auto"/>
          </w:tcPr>
          <w:p w14:paraId="6BCD0DB1" w14:textId="2DB453EE" w:rsidR="00003826" w:rsidRPr="00F17AB4" w:rsidRDefault="00003826" w:rsidP="00003826">
            <w:pPr>
              <w:jc w:val="left"/>
              <w:rPr>
                <w:sz w:val="17"/>
                <w:szCs w:val="17"/>
              </w:rPr>
            </w:pPr>
            <w:r w:rsidRPr="00F17AB4">
              <w:rPr>
                <w:sz w:val="17"/>
                <w:szCs w:val="17"/>
              </w:rPr>
              <w:t xml:space="preserve">The ECB has published a paper </w:t>
            </w:r>
            <w:r w:rsidR="00085005" w:rsidRPr="00F17AB4">
              <w:rPr>
                <w:sz w:val="17"/>
                <w:szCs w:val="17"/>
              </w:rPr>
              <w:t>exploring</w:t>
            </w:r>
            <w:r w:rsidRPr="00F17AB4">
              <w:rPr>
                <w:sz w:val="17"/>
                <w:szCs w:val="17"/>
              </w:rPr>
              <w:t xml:space="preserve"> the impact of suspending redemptions during the COVID-19 pandemic. </w:t>
            </w:r>
            <w:r w:rsidRPr="00F17AB4">
              <w:rPr>
                <w:bCs/>
                <w:sz w:val="17"/>
                <w:szCs w:val="17"/>
              </w:rPr>
              <w:t>The paper notes that following the onset of the COVID</w:t>
            </w:r>
            <w:r w:rsidRPr="00F17AB4">
              <w:rPr>
                <w:bCs/>
                <w:sz w:val="17"/>
                <w:szCs w:val="17"/>
              </w:rPr>
              <w:noBreakHyphen/>
              <w:t>19 crisis, the European investment fund sector experienced severe liquidity issues, with a significant number of funds suspending redemptions. The paper highlights that the suspensions seen in March 2020 mainly affected real estate and bond funds domiciled in Denmark, Luxembourg and the United Kingdom. The paper suggests that high levels of</w:t>
            </w:r>
            <w:r w:rsidRPr="00F17AB4">
              <w:rPr>
                <w:rFonts w:ascii="Verdana" w:eastAsiaTheme="minorHAnsi" w:hAnsi="Verdana"/>
                <w:bCs/>
                <w:color w:val="555555"/>
                <w:sz w:val="30"/>
                <w:szCs w:val="30"/>
                <w:bdr w:val="none" w:sz="0" w:space="0" w:color="auto" w:frame="1"/>
                <w:shd w:val="clear" w:color="auto" w:fill="FFFFFF"/>
              </w:rPr>
              <w:t xml:space="preserve"> </w:t>
            </w:r>
            <w:r w:rsidRPr="00F17AB4">
              <w:rPr>
                <w:bCs/>
                <w:sz w:val="17"/>
                <w:szCs w:val="17"/>
              </w:rPr>
              <w:t>investment in illiquid assets may have contributed to the stress experienced by suspended funds and that low cash holdings were common among the funds that suspended redemptions.</w:t>
            </w:r>
            <w:r w:rsidRPr="00F17AB4">
              <w:rPr>
                <w:b/>
                <w:bCs/>
                <w:sz w:val="17"/>
                <w:szCs w:val="17"/>
              </w:rPr>
              <w:t xml:space="preserve"> </w:t>
            </w:r>
            <w:r w:rsidRPr="00F17AB4">
              <w:rPr>
                <w:bCs/>
                <w:sz w:val="17"/>
                <w:szCs w:val="17"/>
              </w:rPr>
              <w:t xml:space="preserve">In respect of the impact of the suspensions the paper suggests that while suspensions mitigate the immediate stress at the fund level, they can result in liquidity shortages in other financial and economic sectors. The paper </w:t>
            </w:r>
            <w:r w:rsidR="006F3493" w:rsidRPr="00F17AB4">
              <w:rPr>
                <w:bCs/>
                <w:sz w:val="17"/>
                <w:szCs w:val="17"/>
              </w:rPr>
              <w:t>also discusses</w:t>
            </w:r>
            <w:r w:rsidRPr="00F17AB4">
              <w:rPr>
                <w:bCs/>
                <w:sz w:val="17"/>
                <w:szCs w:val="17"/>
              </w:rPr>
              <w:t xml:space="preserve"> how suspensions can damage investors’ confidence and trigger reputational losses. The paper notes that after reopening, funds that had suspended redemptions in March 2020 experienced smaller inflows than funds that had not imposed suspensions, suggesting that reputational costs </w:t>
            </w:r>
            <w:r w:rsidR="000433D1" w:rsidRPr="00F17AB4">
              <w:rPr>
                <w:bCs/>
                <w:sz w:val="17"/>
                <w:szCs w:val="17"/>
              </w:rPr>
              <w:t>may have been suffered</w:t>
            </w:r>
            <w:r w:rsidRPr="00F17AB4">
              <w:rPr>
                <w:bCs/>
                <w:sz w:val="17"/>
                <w:szCs w:val="17"/>
              </w:rPr>
              <w:t xml:space="preserve">. The paper suggests that while suspensions can be effective in mitigating risks once they have materialised, they cannot prevent such risks from building up in the first place. The paper concludes that greater </w:t>
            </w:r>
            <w:r w:rsidR="005D6B75" w:rsidRPr="00F17AB4">
              <w:rPr>
                <w:bCs/>
                <w:sz w:val="17"/>
                <w:szCs w:val="17"/>
              </w:rPr>
              <w:t>availability and use of ex-</w:t>
            </w:r>
            <w:r w:rsidRPr="00F17AB4">
              <w:rPr>
                <w:bCs/>
                <w:sz w:val="17"/>
                <w:szCs w:val="17"/>
              </w:rPr>
              <w:t>ante liquidity measures could mitigate the build-up of liquidity risks thus reducing the likelihood of funds needing to suspend redemptions in periods of stress.</w:t>
            </w:r>
            <w:r w:rsidRPr="00F17AB4">
              <w:rPr>
                <w:b/>
                <w:bCs/>
                <w:sz w:val="17"/>
                <w:szCs w:val="17"/>
              </w:rPr>
              <w:t xml:space="preserve"> </w:t>
            </w:r>
          </w:p>
        </w:tc>
      </w:tr>
      <w:tr w:rsidR="00085005" w:rsidRPr="000218B2" w14:paraId="32866F74" w14:textId="77777777" w:rsidTr="001C278A">
        <w:trPr>
          <w:cantSplit/>
        </w:trPr>
        <w:tc>
          <w:tcPr>
            <w:tcW w:w="1097" w:type="dxa"/>
            <w:shd w:val="clear" w:color="auto" w:fill="auto"/>
          </w:tcPr>
          <w:p w14:paraId="5A736351" w14:textId="6A6E93C6" w:rsidR="00085005" w:rsidRPr="00F17AB4" w:rsidRDefault="00085005" w:rsidP="00003826">
            <w:pPr>
              <w:jc w:val="left"/>
              <w:rPr>
                <w:b/>
                <w:sz w:val="17"/>
                <w:szCs w:val="17"/>
              </w:rPr>
            </w:pPr>
            <w:r w:rsidRPr="00F17AB4">
              <w:rPr>
                <w:b/>
                <w:sz w:val="17"/>
                <w:szCs w:val="17"/>
              </w:rPr>
              <w:t>12 April 2021</w:t>
            </w:r>
          </w:p>
        </w:tc>
        <w:tc>
          <w:tcPr>
            <w:tcW w:w="1880" w:type="dxa"/>
            <w:shd w:val="clear" w:color="auto" w:fill="auto"/>
          </w:tcPr>
          <w:p w14:paraId="009E5336" w14:textId="77777777" w:rsidR="00085005" w:rsidRPr="009B53ED" w:rsidRDefault="00A324C3" w:rsidP="00085005">
            <w:pPr>
              <w:jc w:val="left"/>
              <w:rPr>
                <w:sz w:val="17"/>
                <w:szCs w:val="17"/>
              </w:rPr>
            </w:pPr>
            <w:hyperlink r:id="rId226" w:history="1">
              <w:r w:rsidR="00085005" w:rsidRPr="009B53ED">
                <w:rPr>
                  <w:rStyle w:val="Hyperlink"/>
                  <w:sz w:val="17"/>
                  <w:szCs w:val="17"/>
                </w:rPr>
                <w:t xml:space="preserve">How effective is the EU Money Market Fund Regulation? Lessons from the COVID-19 turmoil </w:t>
              </w:r>
            </w:hyperlink>
            <w:r w:rsidR="00085005" w:rsidRPr="009B53ED">
              <w:rPr>
                <w:sz w:val="17"/>
                <w:szCs w:val="17"/>
              </w:rPr>
              <w:t xml:space="preserve"> </w:t>
            </w:r>
          </w:p>
          <w:p w14:paraId="17B5F145" w14:textId="77777777" w:rsidR="00085005" w:rsidRPr="009B53ED" w:rsidRDefault="00085005" w:rsidP="00003826">
            <w:pPr>
              <w:jc w:val="left"/>
              <w:rPr>
                <w:sz w:val="17"/>
                <w:szCs w:val="17"/>
              </w:rPr>
            </w:pPr>
          </w:p>
        </w:tc>
        <w:tc>
          <w:tcPr>
            <w:tcW w:w="1819" w:type="dxa"/>
            <w:shd w:val="clear" w:color="auto" w:fill="auto"/>
          </w:tcPr>
          <w:p w14:paraId="39F5AB8C" w14:textId="77777777" w:rsidR="00085005" w:rsidRPr="009B53ED" w:rsidRDefault="00085005" w:rsidP="00003826">
            <w:pPr>
              <w:jc w:val="left"/>
              <w:rPr>
                <w:sz w:val="17"/>
                <w:szCs w:val="17"/>
              </w:rPr>
            </w:pPr>
          </w:p>
        </w:tc>
        <w:tc>
          <w:tcPr>
            <w:tcW w:w="2155" w:type="dxa"/>
            <w:shd w:val="clear" w:color="auto" w:fill="auto"/>
          </w:tcPr>
          <w:p w14:paraId="20C2FEA4" w14:textId="77D61ED8" w:rsidR="00085005" w:rsidRPr="00F17AB4" w:rsidRDefault="00812A44" w:rsidP="00003826">
            <w:pPr>
              <w:jc w:val="left"/>
              <w:rPr>
                <w:sz w:val="17"/>
                <w:szCs w:val="17"/>
              </w:rPr>
            </w:pPr>
            <w:r w:rsidRPr="00F17AB4">
              <w:rPr>
                <w:sz w:val="17"/>
                <w:szCs w:val="17"/>
              </w:rPr>
              <w:t>Investment Managers and Investment Firms</w:t>
            </w:r>
          </w:p>
        </w:tc>
        <w:tc>
          <w:tcPr>
            <w:tcW w:w="5523" w:type="dxa"/>
            <w:shd w:val="clear" w:color="auto" w:fill="auto"/>
          </w:tcPr>
          <w:p w14:paraId="732D20FC" w14:textId="64D35275" w:rsidR="00812A44" w:rsidRPr="00F17AB4" w:rsidRDefault="00085005" w:rsidP="00085005">
            <w:pPr>
              <w:jc w:val="left"/>
              <w:rPr>
                <w:bCs/>
                <w:sz w:val="17"/>
                <w:szCs w:val="17"/>
              </w:rPr>
            </w:pPr>
            <w:r w:rsidRPr="00F17AB4">
              <w:rPr>
                <w:sz w:val="17"/>
                <w:szCs w:val="17"/>
              </w:rPr>
              <w:t xml:space="preserve">The ECB has published a paper assessing the effectiveness of the EU’s regulatory framework in the money market fund (MMF) sector from a financial stability perspective. The paper </w:t>
            </w:r>
            <w:r w:rsidR="00812A44" w:rsidRPr="00F17AB4">
              <w:rPr>
                <w:sz w:val="17"/>
                <w:szCs w:val="17"/>
              </w:rPr>
              <w:t>notes</w:t>
            </w:r>
            <w:r w:rsidRPr="00F17AB4">
              <w:rPr>
                <w:sz w:val="17"/>
                <w:szCs w:val="17"/>
              </w:rPr>
              <w:t xml:space="preserve"> that </w:t>
            </w:r>
            <w:r w:rsidRPr="00F17AB4">
              <w:rPr>
                <w:bCs/>
                <w:sz w:val="17"/>
                <w:szCs w:val="17"/>
              </w:rPr>
              <w:t>the coronavirus (COVID</w:t>
            </w:r>
            <w:r w:rsidRPr="00F17AB4">
              <w:rPr>
                <w:bCs/>
                <w:sz w:val="17"/>
                <w:szCs w:val="17"/>
              </w:rPr>
              <w:noBreakHyphen/>
              <w:t>19) market turmoil in March 2020 tested the resilience of the MMF sector, raising questions about the MMF Regulation’s ability to tackle systemic risks effectively.</w:t>
            </w:r>
            <w:r w:rsidR="00812A44" w:rsidRPr="00F17AB4">
              <w:rPr>
                <w:bCs/>
                <w:sz w:val="17"/>
                <w:szCs w:val="17"/>
              </w:rPr>
              <w:t xml:space="preserve"> The paper </w:t>
            </w:r>
            <w:r w:rsidRPr="00F17AB4">
              <w:rPr>
                <w:bCs/>
                <w:sz w:val="17"/>
                <w:szCs w:val="17"/>
              </w:rPr>
              <w:t>suggest</w:t>
            </w:r>
            <w:r w:rsidR="00812A44" w:rsidRPr="00F17AB4">
              <w:rPr>
                <w:bCs/>
                <w:sz w:val="17"/>
                <w:szCs w:val="17"/>
              </w:rPr>
              <w:t>s there are</w:t>
            </w:r>
            <w:r w:rsidRPr="00F17AB4">
              <w:rPr>
                <w:bCs/>
                <w:sz w:val="17"/>
                <w:szCs w:val="17"/>
              </w:rPr>
              <w:t xml:space="preserve"> a number of </w:t>
            </w:r>
            <w:r w:rsidR="00812A44" w:rsidRPr="00F17AB4">
              <w:rPr>
                <w:bCs/>
                <w:sz w:val="17"/>
                <w:szCs w:val="17"/>
              </w:rPr>
              <w:t xml:space="preserve">key </w:t>
            </w:r>
            <w:r w:rsidRPr="00F17AB4">
              <w:rPr>
                <w:bCs/>
                <w:sz w:val="17"/>
                <w:szCs w:val="17"/>
              </w:rPr>
              <w:t>weaknesses i</w:t>
            </w:r>
            <w:r w:rsidR="00812A44" w:rsidRPr="00F17AB4">
              <w:rPr>
                <w:bCs/>
                <w:sz w:val="17"/>
                <w:szCs w:val="17"/>
              </w:rPr>
              <w:t xml:space="preserve">n the MMF regulatory framework as follows: </w:t>
            </w:r>
          </w:p>
          <w:p w14:paraId="2310C04B" w14:textId="77777777" w:rsidR="00812A44" w:rsidRPr="00F17AB4" w:rsidRDefault="00812A44" w:rsidP="00085005">
            <w:pPr>
              <w:jc w:val="left"/>
              <w:rPr>
                <w:bCs/>
                <w:sz w:val="17"/>
                <w:szCs w:val="17"/>
              </w:rPr>
            </w:pPr>
          </w:p>
          <w:p w14:paraId="7A813510" w14:textId="561034FC" w:rsidR="00812A44" w:rsidRPr="00F17AB4" w:rsidRDefault="00E32E4E" w:rsidP="00085005">
            <w:pPr>
              <w:pStyle w:val="ListParagraph"/>
              <w:numPr>
                <w:ilvl w:val="0"/>
                <w:numId w:val="33"/>
              </w:numPr>
              <w:jc w:val="left"/>
              <w:rPr>
                <w:bCs/>
                <w:sz w:val="17"/>
                <w:szCs w:val="17"/>
              </w:rPr>
            </w:pPr>
            <w:r w:rsidRPr="00F17AB4">
              <w:rPr>
                <w:bCs/>
                <w:sz w:val="17"/>
                <w:szCs w:val="17"/>
              </w:rPr>
              <w:t>The low market liquidity of some instruments that non-public debt MMFs hold exposes them to liquidit</w:t>
            </w:r>
            <w:r w:rsidR="00812A44" w:rsidRPr="00F17AB4">
              <w:rPr>
                <w:bCs/>
                <w:sz w:val="17"/>
                <w:szCs w:val="17"/>
              </w:rPr>
              <w:t xml:space="preserve">y risk during periods of stress. </w:t>
            </w:r>
          </w:p>
          <w:p w14:paraId="0BF9F112" w14:textId="13C66D3B" w:rsidR="00812A44" w:rsidRPr="00F17AB4" w:rsidRDefault="00812A44" w:rsidP="00085005">
            <w:pPr>
              <w:pStyle w:val="ListParagraph"/>
              <w:numPr>
                <w:ilvl w:val="0"/>
                <w:numId w:val="33"/>
              </w:numPr>
              <w:jc w:val="left"/>
              <w:rPr>
                <w:bCs/>
                <w:sz w:val="17"/>
                <w:szCs w:val="17"/>
              </w:rPr>
            </w:pPr>
            <w:r w:rsidRPr="00F17AB4">
              <w:rPr>
                <w:bCs/>
                <w:sz w:val="17"/>
                <w:szCs w:val="17"/>
              </w:rPr>
              <w:t>Low-volatility net asset value (LVNAV) funds are particularly vulnerable to liquidity shocks, given that they invest in non-public debt instruments while offering a stable share price.</w:t>
            </w:r>
          </w:p>
          <w:p w14:paraId="59A85FF6" w14:textId="77777777" w:rsidR="00812A44" w:rsidRPr="00F17AB4" w:rsidRDefault="00812A44" w:rsidP="00812A44">
            <w:pPr>
              <w:pStyle w:val="ListParagraph"/>
              <w:numPr>
                <w:ilvl w:val="0"/>
                <w:numId w:val="33"/>
              </w:numPr>
              <w:jc w:val="left"/>
              <w:rPr>
                <w:bCs/>
                <w:sz w:val="17"/>
                <w:szCs w:val="17"/>
              </w:rPr>
            </w:pPr>
            <w:r w:rsidRPr="00F17AB4">
              <w:rPr>
                <w:bCs/>
                <w:sz w:val="17"/>
                <w:szCs w:val="17"/>
              </w:rPr>
              <w:t xml:space="preserve">To try to strengthen MMFs’ ability to handle redemptions and mitigate </w:t>
            </w:r>
            <w:proofErr w:type="spellStart"/>
            <w:r w:rsidRPr="00F17AB4">
              <w:rPr>
                <w:bCs/>
                <w:sz w:val="17"/>
                <w:szCs w:val="17"/>
              </w:rPr>
              <w:t>procyclical</w:t>
            </w:r>
            <w:proofErr w:type="spellEnd"/>
            <w:r w:rsidRPr="00F17AB4">
              <w:rPr>
                <w:bCs/>
                <w:sz w:val="17"/>
                <w:szCs w:val="17"/>
              </w:rPr>
              <w:t xml:space="preserve"> sales, the MMF Regulation introduced daily and weekly liquidity requirements.</w:t>
            </w:r>
            <w:r w:rsidRPr="00F17AB4">
              <w:rPr>
                <w:rFonts w:ascii="Verdana" w:eastAsiaTheme="minorHAnsi" w:hAnsi="Verdana"/>
                <w:bCs/>
                <w:color w:val="555555"/>
                <w:sz w:val="30"/>
                <w:szCs w:val="30"/>
                <w:bdr w:val="none" w:sz="0" w:space="0" w:color="auto" w:frame="1"/>
                <w:shd w:val="clear" w:color="auto" w:fill="FFFFFF"/>
              </w:rPr>
              <w:t xml:space="preserve"> </w:t>
            </w:r>
            <w:r w:rsidRPr="00F17AB4">
              <w:rPr>
                <w:bCs/>
                <w:sz w:val="17"/>
                <w:szCs w:val="17"/>
              </w:rPr>
              <w:t xml:space="preserve">However, while large outflows were seen for some funds, fund managers did not draw down on their weekly liquid assets to the same extent, suggesting low levels of usability for MMFs’ buffers. </w:t>
            </w:r>
          </w:p>
          <w:p w14:paraId="51FAF370" w14:textId="77777777" w:rsidR="006F3493" w:rsidRPr="00F17AB4" w:rsidRDefault="006F3493" w:rsidP="006F3493">
            <w:pPr>
              <w:jc w:val="left"/>
              <w:rPr>
                <w:bCs/>
                <w:sz w:val="17"/>
                <w:szCs w:val="17"/>
              </w:rPr>
            </w:pPr>
          </w:p>
          <w:p w14:paraId="73AF98D1" w14:textId="5F7D7205" w:rsidR="00812A44" w:rsidRPr="00F17AB4" w:rsidRDefault="00812A44" w:rsidP="000433D1">
            <w:pPr>
              <w:jc w:val="left"/>
              <w:rPr>
                <w:b/>
                <w:bCs/>
                <w:sz w:val="17"/>
                <w:szCs w:val="17"/>
              </w:rPr>
            </w:pPr>
            <w:r w:rsidRPr="00F17AB4">
              <w:rPr>
                <w:bCs/>
                <w:sz w:val="17"/>
                <w:szCs w:val="17"/>
              </w:rPr>
              <w:t xml:space="preserve">The </w:t>
            </w:r>
            <w:r w:rsidR="000433D1" w:rsidRPr="00F17AB4">
              <w:rPr>
                <w:bCs/>
                <w:sz w:val="17"/>
                <w:szCs w:val="17"/>
              </w:rPr>
              <w:t>paper suggests</w:t>
            </w:r>
            <w:r w:rsidRPr="00F17AB4">
              <w:rPr>
                <w:bCs/>
                <w:sz w:val="17"/>
                <w:szCs w:val="17"/>
              </w:rPr>
              <w:t xml:space="preserve"> a number of recommendations to strengthen the MMF Regulations. First, reducing investment in illiquid assets could mitigate liquidity mismatches and alleviate the risk of suspensions during stress periods, but </w:t>
            </w:r>
            <w:r w:rsidR="00A01812" w:rsidRPr="00F17AB4">
              <w:rPr>
                <w:bCs/>
                <w:sz w:val="17"/>
                <w:szCs w:val="17"/>
              </w:rPr>
              <w:t>the paper also notes</w:t>
            </w:r>
            <w:r w:rsidR="006F3493" w:rsidRPr="00F17AB4">
              <w:rPr>
                <w:bCs/>
                <w:sz w:val="17"/>
                <w:szCs w:val="17"/>
              </w:rPr>
              <w:t xml:space="preserve"> that this </w:t>
            </w:r>
            <w:r w:rsidRPr="00F17AB4">
              <w:rPr>
                <w:bCs/>
                <w:sz w:val="17"/>
                <w:szCs w:val="17"/>
              </w:rPr>
              <w:t xml:space="preserve">could impair MMFs’ ability to provide funds to the real economy. </w:t>
            </w:r>
            <w:r w:rsidR="006F3493" w:rsidRPr="00F17AB4">
              <w:rPr>
                <w:bCs/>
                <w:sz w:val="17"/>
                <w:szCs w:val="17"/>
              </w:rPr>
              <w:t>Second, e</w:t>
            </w:r>
            <w:r w:rsidRPr="00F17AB4">
              <w:rPr>
                <w:bCs/>
                <w:sz w:val="17"/>
                <w:szCs w:val="17"/>
              </w:rPr>
              <w:t xml:space="preserve">nhanced portfolio requirements, for </w:t>
            </w:r>
            <w:r w:rsidR="006F3493" w:rsidRPr="00F17AB4">
              <w:rPr>
                <w:bCs/>
                <w:sz w:val="17"/>
                <w:szCs w:val="17"/>
              </w:rPr>
              <w:t>example</w:t>
            </w:r>
            <w:r w:rsidRPr="00F17AB4">
              <w:rPr>
                <w:bCs/>
                <w:sz w:val="17"/>
                <w:szCs w:val="17"/>
              </w:rPr>
              <w:t xml:space="preserve"> through higher investments in public debt, could strengthen the risk and liquidity profile of LVNAV funds</w:t>
            </w:r>
            <w:r w:rsidR="006F3493" w:rsidRPr="00F17AB4">
              <w:rPr>
                <w:bCs/>
                <w:sz w:val="17"/>
                <w:szCs w:val="17"/>
              </w:rPr>
              <w:t>. Finally the paper suggests that d</w:t>
            </w:r>
            <w:r w:rsidRPr="00F17AB4">
              <w:rPr>
                <w:bCs/>
                <w:sz w:val="17"/>
                <w:szCs w:val="17"/>
              </w:rPr>
              <w:t>aily and weekly liquidity requirements should be enhanced to increase the usability of liquidity buffers during periods of distress.</w:t>
            </w:r>
          </w:p>
        </w:tc>
      </w:tr>
      <w:tr w:rsidR="00003826" w:rsidRPr="000218B2" w14:paraId="2D1495DF" w14:textId="77777777" w:rsidTr="001C278A">
        <w:trPr>
          <w:cantSplit/>
        </w:trPr>
        <w:tc>
          <w:tcPr>
            <w:tcW w:w="1097" w:type="dxa"/>
            <w:shd w:val="clear" w:color="auto" w:fill="auto"/>
          </w:tcPr>
          <w:p w14:paraId="5C036EF1" w14:textId="5E5E95D6" w:rsidR="008406E0" w:rsidRPr="00F17AB4" w:rsidRDefault="00A27CA7" w:rsidP="00003826">
            <w:pPr>
              <w:jc w:val="left"/>
              <w:rPr>
                <w:b/>
                <w:sz w:val="17"/>
                <w:szCs w:val="17"/>
              </w:rPr>
            </w:pPr>
            <w:r w:rsidRPr="00F17AB4">
              <w:rPr>
                <w:b/>
                <w:sz w:val="17"/>
                <w:szCs w:val="17"/>
              </w:rPr>
              <w:t>13 April 2021</w:t>
            </w:r>
          </w:p>
          <w:p w14:paraId="7F15518A" w14:textId="77777777" w:rsidR="00A27CA7" w:rsidRPr="00F17AB4" w:rsidRDefault="00A27CA7" w:rsidP="00003826">
            <w:pPr>
              <w:jc w:val="left"/>
              <w:rPr>
                <w:b/>
                <w:sz w:val="17"/>
                <w:szCs w:val="17"/>
              </w:rPr>
            </w:pPr>
          </w:p>
          <w:p w14:paraId="1D50DAA5" w14:textId="77777777" w:rsidR="008406E0" w:rsidRPr="00F17AB4" w:rsidRDefault="008406E0" w:rsidP="00003826">
            <w:pPr>
              <w:jc w:val="left"/>
              <w:rPr>
                <w:b/>
                <w:sz w:val="17"/>
                <w:szCs w:val="17"/>
              </w:rPr>
            </w:pPr>
          </w:p>
          <w:p w14:paraId="6222741A" w14:textId="77777777" w:rsidR="008406E0" w:rsidRPr="00F17AB4" w:rsidRDefault="008406E0" w:rsidP="00003826">
            <w:pPr>
              <w:jc w:val="left"/>
              <w:rPr>
                <w:b/>
                <w:sz w:val="17"/>
                <w:szCs w:val="17"/>
              </w:rPr>
            </w:pPr>
          </w:p>
          <w:p w14:paraId="760FCF7D" w14:textId="77777777" w:rsidR="008406E0" w:rsidRPr="00F17AB4" w:rsidRDefault="008406E0" w:rsidP="00003826">
            <w:pPr>
              <w:jc w:val="left"/>
              <w:rPr>
                <w:b/>
                <w:sz w:val="17"/>
                <w:szCs w:val="17"/>
              </w:rPr>
            </w:pPr>
          </w:p>
          <w:p w14:paraId="7A45333B" w14:textId="77777777" w:rsidR="008406E0" w:rsidRPr="00F17AB4" w:rsidRDefault="008406E0" w:rsidP="00003826">
            <w:pPr>
              <w:jc w:val="left"/>
              <w:rPr>
                <w:b/>
                <w:sz w:val="17"/>
                <w:szCs w:val="17"/>
              </w:rPr>
            </w:pPr>
          </w:p>
          <w:p w14:paraId="528795B8" w14:textId="77777777" w:rsidR="008406E0" w:rsidRPr="00F17AB4" w:rsidRDefault="008406E0" w:rsidP="00003826">
            <w:pPr>
              <w:jc w:val="left"/>
              <w:rPr>
                <w:b/>
                <w:sz w:val="17"/>
                <w:szCs w:val="17"/>
              </w:rPr>
            </w:pPr>
          </w:p>
          <w:p w14:paraId="52AFB339" w14:textId="4BCB54F8" w:rsidR="008406E0" w:rsidRPr="00F17AB4" w:rsidRDefault="008406E0" w:rsidP="00003826">
            <w:pPr>
              <w:jc w:val="left"/>
              <w:rPr>
                <w:b/>
                <w:sz w:val="17"/>
                <w:szCs w:val="17"/>
              </w:rPr>
            </w:pPr>
          </w:p>
        </w:tc>
        <w:tc>
          <w:tcPr>
            <w:tcW w:w="1880" w:type="dxa"/>
            <w:shd w:val="clear" w:color="auto" w:fill="auto"/>
          </w:tcPr>
          <w:p w14:paraId="17FCA9A2" w14:textId="77777777" w:rsidR="00A27CA7" w:rsidRPr="009B53ED" w:rsidRDefault="00A324C3" w:rsidP="00A27CA7">
            <w:pPr>
              <w:jc w:val="left"/>
              <w:rPr>
                <w:sz w:val="17"/>
                <w:szCs w:val="17"/>
              </w:rPr>
            </w:pPr>
            <w:hyperlink r:id="rId227" w:history="1">
              <w:r w:rsidR="00A27CA7" w:rsidRPr="009B53ED">
                <w:rPr>
                  <w:rStyle w:val="Hyperlink"/>
                  <w:sz w:val="17"/>
                  <w:szCs w:val="17"/>
                </w:rPr>
                <w:t>Benchmarking of Recovery Plans (cycle 2019/20)</w:t>
              </w:r>
            </w:hyperlink>
            <w:r w:rsidR="00A27CA7" w:rsidRPr="009B53ED">
              <w:rPr>
                <w:sz w:val="17"/>
                <w:szCs w:val="17"/>
              </w:rPr>
              <w:t xml:space="preserve"> </w:t>
            </w:r>
          </w:p>
          <w:p w14:paraId="397B847F" w14:textId="77777777" w:rsidR="00003826" w:rsidRPr="00F17AB4" w:rsidRDefault="00003826" w:rsidP="00003826">
            <w:pPr>
              <w:jc w:val="left"/>
            </w:pPr>
          </w:p>
        </w:tc>
        <w:tc>
          <w:tcPr>
            <w:tcW w:w="1819" w:type="dxa"/>
            <w:shd w:val="clear" w:color="auto" w:fill="auto"/>
          </w:tcPr>
          <w:p w14:paraId="5296E077" w14:textId="77777777" w:rsidR="00003826" w:rsidRPr="00F17AB4" w:rsidRDefault="00003826" w:rsidP="00003826">
            <w:pPr>
              <w:jc w:val="left"/>
              <w:rPr>
                <w:sz w:val="17"/>
                <w:szCs w:val="17"/>
              </w:rPr>
            </w:pPr>
          </w:p>
        </w:tc>
        <w:tc>
          <w:tcPr>
            <w:tcW w:w="2155" w:type="dxa"/>
            <w:shd w:val="clear" w:color="auto" w:fill="auto"/>
          </w:tcPr>
          <w:p w14:paraId="012E1764" w14:textId="0DF6808F" w:rsidR="00003826" w:rsidRPr="00F17AB4" w:rsidRDefault="00EE6EFF" w:rsidP="00003826">
            <w:pPr>
              <w:jc w:val="left"/>
              <w:rPr>
                <w:sz w:val="17"/>
                <w:szCs w:val="17"/>
              </w:rPr>
            </w:pPr>
            <w:r w:rsidRPr="00F17AB4">
              <w:rPr>
                <w:sz w:val="17"/>
                <w:szCs w:val="17"/>
              </w:rPr>
              <w:t>ECB supervised financial institutions</w:t>
            </w:r>
          </w:p>
        </w:tc>
        <w:tc>
          <w:tcPr>
            <w:tcW w:w="5523" w:type="dxa"/>
            <w:shd w:val="clear" w:color="auto" w:fill="auto"/>
          </w:tcPr>
          <w:p w14:paraId="13EA1B24" w14:textId="4F43C692" w:rsidR="00003826" w:rsidRPr="00F17AB4" w:rsidRDefault="00A27CA7" w:rsidP="00EE6EFF">
            <w:pPr>
              <w:jc w:val="left"/>
              <w:rPr>
                <w:sz w:val="17"/>
                <w:szCs w:val="17"/>
              </w:rPr>
            </w:pPr>
            <w:r w:rsidRPr="00F17AB4">
              <w:rPr>
                <w:sz w:val="17"/>
                <w:szCs w:val="17"/>
              </w:rPr>
              <w:t>The ECB has published a report on B</w:t>
            </w:r>
            <w:r w:rsidR="00083999" w:rsidRPr="00F17AB4">
              <w:rPr>
                <w:sz w:val="17"/>
                <w:szCs w:val="17"/>
              </w:rPr>
              <w:t>enchmarking of Recovery Plans (c</w:t>
            </w:r>
            <w:r w:rsidRPr="00F17AB4">
              <w:rPr>
                <w:sz w:val="17"/>
                <w:szCs w:val="17"/>
              </w:rPr>
              <w:t xml:space="preserve">ycle 2019/20). </w:t>
            </w:r>
            <w:r w:rsidR="00083999" w:rsidRPr="00F17AB4">
              <w:rPr>
                <w:sz w:val="17"/>
                <w:szCs w:val="17"/>
              </w:rPr>
              <w:t xml:space="preserve">The objective of the report is to provide a horizontal overview of key characteristics of recovery plans of significant institutions and </w:t>
            </w:r>
            <w:r w:rsidR="0094725F" w:rsidRPr="00F17AB4">
              <w:rPr>
                <w:sz w:val="17"/>
                <w:szCs w:val="17"/>
              </w:rPr>
              <w:t xml:space="preserve">to identify </w:t>
            </w:r>
            <w:r w:rsidR="00083999" w:rsidRPr="00F17AB4">
              <w:rPr>
                <w:sz w:val="17"/>
                <w:szCs w:val="17"/>
              </w:rPr>
              <w:t xml:space="preserve">key focus points for improvements. </w:t>
            </w:r>
            <w:r w:rsidR="00EE6EFF" w:rsidRPr="00F17AB4">
              <w:rPr>
                <w:sz w:val="17"/>
                <w:szCs w:val="17"/>
              </w:rPr>
              <w:t xml:space="preserve">The data is based on the recovery plan standardised reporting template (SRT) submitted in the 2019 cycle. </w:t>
            </w:r>
            <w:r w:rsidR="0094725F" w:rsidRPr="00F17AB4">
              <w:rPr>
                <w:sz w:val="17"/>
                <w:szCs w:val="17"/>
              </w:rPr>
              <w:t>In respect of COVID</w:t>
            </w:r>
            <w:r w:rsidR="00083999" w:rsidRPr="00F17AB4">
              <w:rPr>
                <w:sz w:val="17"/>
                <w:szCs w:val="17"/>
              </w:rPr>
              <w:t xml:space="preserve"> the report sets out the following </w:t>
            </w:r>
            <w:r w:rsidR="00EE6EFF" w:rsidRPr="00F17AB4">
              <w:rPr>
                <w:sz w:val="17"/>
                <w:szCs w:val="17"/>
              </w:rPr>
              <w:t>findings</w:t>
            </w:r>
            <w:r w:rsidR="00083999" w:rsidRPr="00F17AB4">
              <w:rPr>
                <w:sz w:val="17"/>
                <w:szCs w:val="17"/>
              </w:rPr>
              <w:t xml:space="preserve">: </w:t>
            </w:r>
          </w:p>
          <w:p w14:paraId="0F6CACFB" w14:textId="5B48783B" w:rsidR="00083999" w:rsidRPr="00F17AB4" w:rsidRDefault="00083999" w:rsidP="00083999">
            <w:pPr>
              <w:pStyle w:val="ListParagraph"/>
              <w:numPr>
                <w:ilvl w:val="0"/>
                <w:numId w:val="34"/>
              </w:numPr>
              <w:jc w:val="left"/>
              <w:rPr>
                <w:sz w:val="17"/>
                <w:szCs w:val="17"/>
              </w:rPr>
            </w:pPr>
            <w:r w:rsidRPr="00F17AB4">
              <w:rPr>
                <w:sz w:val="17"/>
                <w:szCs w:val="17"/>
              </w:rPr>
              <w:t xml:space="preserve">If issuances and entity disposals would not be available, around 60% of 12-months capital </w:t>
            </w:r>
            <w:r w:rsidR="0094725F" w:rsidRPr="00F17AB4">
              <w:rPr>
                <w:sz w:val="17"/>
                <w:szCs w:val="17"/>
              </w:rPr>
              <w:t>overall recovery capacity (ORC)</w:t>
            </w:r>
            <w:r w:rsidR="00EE6EFF" w:rsidRPr="00F17AB4">
              <w:rPr>
                <w:sz w:val="17"/>
                <w:szCs w:val="17"/>
              </w:rPr>
              <w:t xml:space="preserve"> </w:t>
            </w:r>
            <w:r w:rsidRPr="00F17AB4">
              <w:rPr>
                <w:sz w:val="17"/>
                <w:szCs w:val="17"/>
              </w:rPr>
              <w:t>would be lost on average</w:t>
            </w:r>
            <w:r w:rsidR="0094725F" w:rsidRPr="00F17AB4">
              <w:rPr>
                <w:sz w:val="17"/>
                <w:szCs w:val="17"/>
              </w:rPr>
              <w:t>.</w:t>
            </w:r>
          </w:p>
          <w:p w14:paraId="65C7091C" w14:textId="063964DA" w:rsidR="00EE6EFF" w:rsidRPr="00F17AB4" w:rsidRDefault="00EE6EFF" w:rsidP="00EE6EFF">
            <w:pPr>
              <w:pStyle w:val="ListParagraph"/>
              <w:numPr>
                <w:ilvl w:val="0"/>
                <w:numId w:val="34"/>
              </w:numPr>
              <w:jc w:val="left"/>
              <w:rPr>
                <w:sz w:val="17"/>
                <w:szCs w:val="17"/>
              </w:rPr>
            </w:pPr>
            <w:r w:rsidRPr="00F17AB4">
              <w:rPr>
                <w:sz w:val="17"/>
                <w:szCs w:val="17"/>
              </w:rPr>
              <w:t>If wholesale funding would not be available 27% to 36% of 6-months liquidity (ORC) would be lost on average</w:t>
            </w:r>
            <w:r w:rsidR="0094725F" w:rsidRPr="00F17AB4">
              <w:rPr>
                <w:sz w:val="17"/>
                <w:szCs w:val="17"/>
              </w:rPr>
              <w:t>.</w:t>
            </w:r>
          </w:p>
          <w:p w14:paraId="2D382062" w14:textId="62DEA482" w:rsidR="00EE6EFF" w:rsidRPr="00F17AB4" w:rsidRDefault="00EE6EFF" w:rsidP="00EE6EFF">
            <w:pPr>
              <w:pStyle w:val="ListParagraph"/>
              <w:numPr>
                <w:ilvl w:val="0"/>
                <w:numId w:val="34"/>
              </w:numPr>
              <w:jc w:val="left"/>
              <w:rPr>
                <w:sz w:val="17"/>
                <w:szCs w:val="17"/>
              </w:rPr>
            </w:pPr>
            <w:r w:rsidRPr="00F17AB4">
              <w:rPr>
                <w:sz w:val="17"/>
                <w:szCs w:val="17"/>
              </w:rPr>
              <w:t>If issuances and entity disposals would not be available then 60% of (best) capital ORC would be lost on average</w:t>
            </w:r>
            <w:r w:rsidR="0094725F" w:rsidRPr="00F17AB4">
              <w:rPr>
                <w:sz w:val="17"/>
                <w:szCs w:val="17"/>
              </w:rPr>
              <w:t>.</w:t>
            </w:r>
          </w:p>
          <w:p w14:paraId="00B785DE" w14:textId="1259FA9A" w:rsidR="00EE6EFF" w:rsidRPr="00F17AB4" w:rsidRDefault="00EE6EFF" w:rsidP="00EE6EFF">
            <w:pPr>
              <w:pStyle w:val="ListParagraph"/>
              <w:numPr>
                <w:ilvl w:val="0"/>
                <w:numId w:val="34"/>
              </w:numPr>
              <w:jc w:val="left"/>
              <w:rPr>
                <w:sz w:val="17"/>
                <w:szCs w:val="17"/>
              </w:rPr>
            </w:pPr>
            <w:r w:rsidRPr="00F17AB4">
              <w:rPr>
                <w:sz w:val="17"/>
                <w:szCs w:val="17"/>
              </w:rPr>
              <w:t>If wholesale funding would not be available then 27% of (best) liquidity ORC would be lost on average</w:t>
            </w:r>
            <w:r w:rsidR="0094725F" w:rsidRPr="00F17AB4">
              <w:rPr>
                <w:sz w:val="17"/>
                <w:szCs w:val="17"/>
              </w:rPr>
              <w:t>.</w:t>
            </w:r>
          </w:p>
          <w:p w14:paraId="604408DB" w14:textId="3B426F94" w:rsidR="00EE6EFF" w:rsidRPr="00F17AB4" w:rsidRDefault="00EE6EFF" w:rsidP="00EE6EFF">
            <w:pPr>
              <w:pStyle w:val="ListParagraph"/>
              <w:jc w:val="left"/>
              <w:rPr>
                <w:sz w:val="17"/>
                <w:szCs w:val="17"/>
              </w:rPr>
            </w:pPr>
          </w:p>
        </w:tc>
      </w:tr>
      <w:tr w:rsidR="00B83B5F" w:rsidRPr="000218B2" w14:paraId="570AB210" w14:textId="77777777" w:rsidTr="001C278A">
        <w:trPr>
          <w:cantSplit/>
        </w:trPr>
        <w:tc>
          <w:tcPr>
            <w:tcW w:w="1097" w:type="dxa"/>
            <w:shd w:val="clear" w:color="auto" w:fill="auto"/>
          </w:tcPr>
          <w:p w14:paraId="7C2EF922" w14:textId="5B48CC3A" w:rsidR="00B83B5F" w:rsidRPr="009759C9" w:rsidRDefault="00B83B5F" w:rsidP="00003826">
            <w:pPr>
              <w:jc w:val="left"/>
              <w:rPr>
                <w:b/>
                <w:sz w:val="17"/>
                <w:szCs w:val="17"/>
              </w:rPr>
            </w:pPr>
            <w:r w:rsidRPr="009759C9">
              <w:rPr>
                <w:b/>
                <w:sz w:val="17"/>
                <w:szCs w:val="17"/>
              </w:rPr>
              <w:t>19 May 2021</w:t>
            </w:r>
          </w:p>
        </w:tc>
        <w:tc>
          <w:tcPr>
            <w:tcW w:w="1880" w:type="dxa"/>
            <w:shd w:val="clear" w:color="auto" w:fill="auto"/>
          </w:tcPr>
          <w:p w14:paraId="203B690B" w14:textId="77777777" w:rsidR="00CF437C" w:rsidRPr="009759C9" w:rsidRDefault="00A324C3" w:rsidP="00CF437C">
            <w:pPr>
              <w:jc w:val="left"/>
              <w:rPr>
                <w:sz w:val="17"/>
                <w:szCs w:val="17"/>
              </w:rPr>
            </w:pPr>
            <w:hyperlink r:id="rId228" w:history="1">
              <w:r w:rsidR="00CF437C" w:rsidRPr="009759C9">
                <w:rPr>
                  <w:rStyle w:val="Hyperlink"/>
                  <w:sz w:val="17"/>
                  <w:szCs w:val="17"/>
                </w:rPr>
                <w:t xml:space="preserve">COVID-19: checking in on banks facilitating government aid </w:t>
              </w:r>
            </w:hyperlink>
            <w:r w:rsidR="00CF437C" w:rsidRPr="009759C9">
              <w:rPr>
                <w:sz w:val="17"/>
                <w:szCs w:val="17"/>
              </w:rPr>
              <w:t xml:space="preserve">  </w:t>
            </w:r>
          </w:p>
          <w:p w14:paraId="311874D4" w14:textId="77777777" w:rsidR="00B83B5F" w:rsidRPr="009759C9" w:rsidRDefault="00B83B5F" w:rsidP="00CF437C">
            <w:pPr>
              <w:jc w:val="left"/>
            </w:pPr>
          </w:p>
        </w:tc>
        <w:tc>
          <w:tcPr>
            <w:tcW w:w="1819" w:type="dxa"/>
            <w:shd w:val="clear" w:color="auto" w:fill="auto"/>
          </w:tcPr>
          <w:p w14:paraId="1246BD03" w14:textId="77777777" w:rsidR="00B83B5F" w:rsidRPr="009759C9" w:rsidRDefault="00B83B5F" w:rsidP="00003826">
            <w:pPr>
              <w:jc w:val="left"/>
              <w:rPr>
                <w:sz w:val="17"/>
                <w:szCs w:val="17"/>
              </w:rPr>
            </w:pPr>
          </w:p>
        </w:tc>
        <w:tc>
          <w:tcPr>
            <w:tcW w:w="2155" w:type="dxa"/>
            <w:shd w:val="clear" w:color="auto" w:fill="auto"/>
          </w:tcPr>
          <w:p w14:paraId="3ECDE751" w14:textId="71B92C7A" w:rsidR="00B83B5F" w:rsidRPr="009759C9" w:rsidRDefault="00CF437C" w:rsidP="00003826">
            <w:pPr>
              <w:jc w:val="left"/>
              <w:rPr>
                <w:sz w:val="17"/>
                <w:szCs w:val="17"/>
              </w:rPr>
            </w:pPr>
            <w:r w:rsidRPr="009759C9">
              <w:rPr>
                <w:sz w:val="17"/>
                <w:szCs w:val="17"/>
              </w:rPr>
              <w:t xml:space="preserve">ECB supervised financial institutions </w:t>
            </w:r>
          </w:p>
        </w:tc>
        <w:tc>
          <w:tcPr>
            <w:tcW w:w="5523" w:type="dxa"/>
            <w:shd w:val="clear" w:color="auto" w:fill="auto"/>
          </w:tcPr>
          <w:p w14:paraId="7C98B1E7" w14:textId="34506B7C" w:rsidR="00B83B5F" w:rsidRPr="009759C9" w:rsidRDefault="00B83B5F" w:rsidP="00B83B5F">
            <w:pPr>
              <w:jc w:val="left"/>
              <w:rPr>
                <w:sz w:val="17"/>
                <w:szCs w:val="17"/>
              </w:rPr>
            </w:pPr>
            <w:r w:rsidRPr="009759C9">
              <w:rPr>
                <w:sz w:val="17"/>
                <w:szCs w:val="17"/>
              </w:rPr>
              <w:t xml:space="preserve">As part of if its credit risk strategy ECB Banking Supervision recently conducted a review of the manner in which banks facilitated government aid during the coronavirus pandemic. The purpose of the review was to ensure that banks had provided supports in line with the conditions of the support programmes and that they had adequately adapted their governance and internal control frameworks. ECB Banking Supervision also wanted to review the impact of the relief measures on banks credit risk profiles and levels of loan loss provisioning. Inspections were conducted remotely in seven countries: Belgium, Germany, Spain, France, Italy, Netherlands and Portugal. </w:t>
            </w:r>
          </w:p>
          <w:p w14:paraId="3F7592A6" w14:textId="23DF97C2" w:rsidR="00B83B5F" w:rsidRPr="009759C9" w:rsidRDefault="00B83B5F" w:rsidP="00B83B5F">
            <w:pPr>
              <w:jc w:val="left"/>
              <w:rPr>
                <w:sz w:val="17"/>
                <w:szCs w:val="17"/>
              </w:rPr>
            </w:pPr>
            <w:r w:rsidRPr="009759C9">
              <w:rPr>
                <w:sz w:val="17"/>
                <w:szCs w:val="17"/>
              </w:rPr>
              <w:t xml:space="preserve">The results demonstrated that while banks generally facilitated the aid swiftly and appropriately there is a need to further improve how they incorporate the COVID-19 measures in their policies, processes and systems. The following areas were highlighted as requiring improvement: </w:t>
            </w:r>
          </w:p>
          <w:p w14:paraId="1C87B5E9" w14:textId="77777777" w:rsidR="00B83B5F" w:rsidRPr="009759C9" w:rsidRDefault="00B83B5F" w:rsidP="00B83B5F">
            <w:pPr>
              <w:numPr>
                <w:ilvl w:val="0"/>
                <w:numId w:val="35"/>
              </w:numPr>
              <w:jc w:val="left"/>
              <w:rPr>
                <w:sz w:val="17"/>
                <w:szCs w:val="17"/>
              </w:rPr>
            </w:pPr>
            <w:r w:rsidRPr="009759C9">
              <w:rPr>
                <w:sz w:val="17"/>
                <w:szCs w:val="17"/>
              </w:rPr>
              <w:t xml:space="preserve">Governance frameworks (to ensure that the relief measures are appropriately managed and monitored); </w:t>
            </w:r>
          </w:p>
          <w:p w14:paraId="1D5A69B0" w14:textId="77777777" w:rsidR="00B83B5F" w:rsidRPr="009759C9" w:rsidRDefault="00B83B5F" w:rsidP="00B83B5F">
            <w:pPr>
              <w:numPr>
                <w:ilvl w:val="0"/>
                <w:numId w:val="35"/>
              </w:numPr>
              <w:jc w:val="left"/>
              <w:rPr>
                <w:sz w:val="17"/>
                <w:szCs w:val="17"/>
              </w:rPr>
            </w:pPr>
            <w:r w:rsidRPr="009759C9">
              <w:rPr>
                <w:sz w:val="17"/>
                <w:szCs w:val="17"/>
              </w:rPr>
              <w:t xml:space="preserve">Internal policies and procedures (such as ensuring they better document the eligibility rules for relief measures); and  </w:t>
            </w:r>
          </w:p>
          <w:p w14:paraId="69EC71CC" w14:textId="24E206DF" w:rsidR="00B83B5F" w:rsidRPr="009759C9" w:rsidRDefault="00B83B5F" w:rsidP="00B83B5F">
            <w:pPr>
              <w:numPr>
                <w:ilvl w:val="0"/>
                <w:numId w:val="35"/>
              </w:numPr>
              <w:jc w:val="left"/>
              <w:rPr>
                <w:sz w:val="17"/>
                <w:szCs w:val="17"/>
              </w:rPr>
            </w:pPr>
            <w:r w:rsidRPr="009759C9">
              <w:rPr>
                <w:sz w:val="17"/>
                <w:szCs w:val="17"/>
              </w:rPr>
              <w:t xml:space="preserve">IT systems (ensuring they are sufficiently robust to manage the relief measures). </w:t>
            </w:r>
          </w:p>
          <w:p w14:paraId="2ED67BCC" w14:textId="77777777" w:rsidR="00B83B5F" w:rsidRPr="009759C9" w:rsidRDefault="00B83B5F" w:rsidP="00B83B5F">
            <w:pPr>
              <w:jc w:val="left"/>
              <w:rPr>
                <w:sz w:val="17"/>
                <w:szCs w:val="17"/>
              </w:rPr>
            </w:pPr>
            <w:r w:rsidRPr="009759C9">
              <w:rPr>
                <w:sz w:val="17"/>
                <w:szCs w:val="17"/>
              </w:rPr>
              <w:t>ECB Banking Supervision has stated that it will continue these investigations remotely in 2021, increasing the number of banks and countries covered and extending the scope of inspection.</w:t>
            </w:r>
          </w:p>
          <w:p w14:paraId="7C2FF659" w14:textId="77777777" w:rsidR="00B83B5F" w:rsidRPr="009759C9" w:rsidRDefault="00B83B5F" w:rsidP="00EE6EFF">
            <w:pPr>
              <w:jc w:val="left"/>
              <w:rPr>
                <w:sz w:val="17"/>
                <w:szCs w:val="17"/>
              </w:rPr>
            </w:pPr>
          </w:p>
        </w:tc>
      </w:tr>
      <w:tr w:rsidR="001C273E" w:rsidRPr="000218B2" w14:paraId="2DFC3874" w14:textId="77777777" w:rsidTr="001C278A">
        <w:trPr>
          <w:cantSplit/>
        </w:trPr>
        <w:tc>
          <w:tcPr>
            <w:tcW w:w="1097" w:type="dxa"/>
            <w:shd w:val="clear" w:color="auto" w:fill="auto"/>
          </w:tcPr>
          <w:p w14:paraId="2987098B" w14:textId="4651ED01" w:rsidR="001C273E" w:rsidRPr="009759C9" w:rsidRDefault="001C273E" w:rsidP="00003826">
            <w:pPr>
              <w:jc w:val="left"/>
              <w:rPr>
                <w:b/>
                <w:sz w:val="17"/>
                <w:szCs w:val="17"/>
              </w:rPr>
            </w:pPr>
            <w:r w:rsidRPr="009759C9">
              <w:rPr>
                <w:b/>
                <w:sz w:val="17"/>
                <w:szCs w:val="17"/>
              </w:rPr>
              <w:t>19 May 2021</w:t>
            </w:r>
          </w:p>
        </w:tc>
        <w:tc>
          <w:tcPr>
            <w:tcW w:w="1880" w:type="dxa"/>
            <w:shd w:val="clear" w:color="auto" w:fill="auto"/>
          </w:tcPr>
          <w:p w14:paraId="1FBA10E9" w14:textId="77777777" w:rsidR="00E41EF4" w:rsidRPr="009759C9" w:rsidRDefault="00A324C3" w:rsidP="00E41EF4">
            <w:pPr>
              <w:jc w:val="left"/>
              <w:rPr>
                <w:bCs/>
                <w:sz w:val="17"/>
                <w:szCs w:val="17"/>
              </w:rPr>
            </w:pPr>
            <w:hyperlink r:id="rId229" w:history="1">
              <w:r w:rsidR="00E41EF4" w:rsidRPr="009759C9">
                <w:rPr>
                  <w:rStyle w:val="Hyperlink"/>
                  <w:bCs/>
                  <w:sz w:val="17"/>
                  <w:szCs w:val="17"/>
                </w:rPr>
                <w:t xml:space="preserve">COVID-19 and vulnerable sectors: more work to be done </w:t>
              </w:r>
            </w:hyperlink>
            <w:r w:rsidR="00E41EF4" w:rsidRPr="009759C9">
              <w:rPr>
                <w:bCs/>
                <w:sz w:val="17"/>
                <w:szCs w:val="17"/>
              </w:rPr>
              <w:t xml:space="preserve"> </w:t>
            </w:r>
          </w:p>
          <w:p w14:paraId="3C85EAF2" w14:textId="77777777" w:rsidR="001C273E" w:rsidRPr="009759C9" w:rsidRDefault="001C273E" w:rsidP="00CF437C">
            <w:pPr>
              <w:jc w:val="left"/>
            </w:pPr>
          </w:p>
        </w:tc>
        <w:tc>
          <w:tcPr>
            <w:tcW w:w="1819" w:type="dxa"/>
            <w:shd w:val="clear" w:color="auto" w:fill="auto"/>
          </w:tcPr>
          <w:p w14:paraId="78930A65" w14:textId="77777777" w:rsidR="001C273E" w:rsidRPr="009759C9" w:rsidRDefault="001C273E" w:rsidP="00003826">
            <w:pPr>
              <w:jc w:val="left"/>
              <w:rPr>
                <w:sz w:val="17"/>
                <w:szCs w:val="17"/>
              </w:rPr>
            </w:pPr>
          </w:p>
        </w:tc>
        <w:tc>
          <w:tcPr>
            <w:tcW w:w="2155" w:type="dxa"/>
            <w:shd w:val="clear" w:color="auto" w:fill="auto"/>
          </w:tcPr>
          <w:p w14:paraId="3C02C5A5" w14:textId="54CA1EBA" w:rsidR="001C273E" w:rsidRPr="009759C9" w:rsidRDefault="00E41EF4" w:rsidP="00003826">
            <w:pPr>
              <w:jc w:val="left"/>
              <w:rPr>
                <w:sz w:val="17"/>
                <w:szCs w:val="17"/>
              </w:rPr>
            </w:pPr>
            <w:r w:rsidRPr="009759C9">
              <w:rPr>
                <w:sz w:val="17"/>
                <w:szCs w:val="17"/>
              </w:rPr>
              <w:t xml:space="preserve">ECB supervised financial institutions </w:t>
            </w:r>
          </w:p>
        </w:tc>
        <w:tc>
          <w:tcPr>
            <w:tcW w:w="5523" w:type="dxa"/>
            <w:shd w:val="clear" w:color="auto" w:fill="auto"/>
          </w:tcPr>
          <w:p w14:paraId="788EA1DF" w14:textId="6C738FB2" w:rsidR="00E41EF4" w:rsidRPr="009759C9" w:rsidRDefault="00E41EF4" w:rsidP="00E41EF4">
            <w:pPr>
              <w:jc w:val="left"/>
              <w:rPr>
                <w:sz w:val="17"/>
                <w:szCs w:val="17"/>
              </w:rPr>
            </w:pPr>
            <w:r w:rsidRPr="009759C9">
              <w:rPr>
                <w:sz w:val="17"/>
                <w:szCs w:val="17"/>
              </w:rPr>
              <w:t>As part of its coordinated coronavirus credit risk strategy, ECB Banking Supervision has published an article on the importance of credit risk management. ECB Banking Supervision has been evaluating the credit risk of its</w:t>
            </w:r>
            <w:r w:rsidR="00B85622" w:rsidRPr="009759C9">
              <w:rPr>
                <w:sz w:val="17"/>
                <w:szCs w:val="17"/>
              </w:rPr>
              <w:t xml:space="preserve"> directly supervised banks who </w:t>
            </w:r>
            <w:r w:rsidRPr="009759C9">
              <w:rPr>
                <w:sz w:val="17"/>
                <w:szCs w:val="17"/>
              </w:rPr>
              <w:t xml:space="preserve">are exposed to vulnerable business sectors such as real estate, food and accommodation. The article notes that commercial real estate represents the largest sectoral exposure across directly supervised banks. </w:t>
            </w:r>
          </w:p>
          <w:p w14:paraId="12E4E37F" w14:textId="77777777" w:rsidR="00E41EF4" w:rsidRPr="009759C9" w:rsidRDefault="00E41EF4" w:rsidP="00E41EF4">
            <w:pPr>
              <w:jc w:val="left"/>
              <w:rPr>
                <w:sz w:val="17"/>
                <w:szCs w:val="17"/>
              </w:rPr>
            </w:pPr>
            <w:r w:rsidRPr="009759C9">
              <w:rPr>
                <w:sz w:val="17"/>
                <w:szCs w:val="17"/>
              </w:rPr>
              <w:t xml:space="preserve">In Q1 2021 ECB Banking Supervision conducted a targeted review of the food and accommodation sector which aimed to gauge how banks were managing credit risk in relation to these sector borrowers. The review, which is ongoing, highlighted that some banks are deviating from the supervisory expectations set out in the ECB’s letter of 4 December 2020. It also revealed that credit risk management practices vary across banks and identified issues related to banks’ policies and practices for assessing creditworthiness. The ECB has indicated that these results will lead to targeted follow-up and remedial actions for banks. </w:t>
            </w:r>
          </w:p>
          <w:p w14:paraId="516515A5" w14:textId="77777777" w:rsidR="001C273E" w:rsidRPr="009759C9" w:rsidRDefault="001C273E" w:rsidP="00B83B5F">
            <w:pPr>
              <w:jc w:val="left"/>
              <w:rPr>
                <w:sz w:val="17"/>
                <w:szCs w:val="17"/>
              </w:rPr>
            </w:pPr>
          </w:p>
        </w:tc>
      </w:tr>
      <w:tr w:rsidR="000E2295" w:rsidRPr="000218B2" w14:paraId="0FFA6889" w14:textId="77777777" w:rsidTr="001C278A">
        <w:trPr>
          <w:cantSplit/>
        </w:trPr>
        <w:tc>
          <w:tcPr>
            <w:tcW w:w="1097" w:type="dxa"/>
            <w:shd w:val="clear" w:color="auto" w:fill="auto"/>
          </w:tcPr>
          <w:p w14:paraId="616898F9" w14:textId="60A58600" w:rsidR="000E2295" w:rsidRPr="009759C9" w:rsidRDefault="000E2295" w:rsidP="00003826">
            <w:pPr>
              <w:jc w:val="left"/>
              <w:rPr>
                <w:b/>
                <w:sz w:val="17"/>
                <w:szCs w:val="17"/>
              </w:rPr>
            </w:pPr>
            <w:r w:rsidRPr="009759C9">
              <w:rPr>
                <w:b/>
                <w:sz w:val="17"/>
                <w:szCs w:val="17"/>
              </w:rPr>
              <w:t>19 May 2021</w:t>
            </w:r>
          </w:p>
        </w:tc>
        <w:tc>
          <w:tcPr>
            <w:tcW w:w="1880" w:type="dxa"/>
            <w:shd w:val="clear" w:color="auto" w:fill="auto"/>
          </w:tcPr>
          <w:p w14:paraId="7F39A10F" w14:textId="77777777" w:rsidR="000E2295" w:rsidRPr="009759C9" w:rsidRDefault="00A324C3" w:rsidP="000E2295">
            <w:pPr>
              <w:jc w:val="left"/>
              <w:rPr>
                <w:bCs/>
                <w:sz w:val="17"/>
                <w:szCs w:val="17"/>
              </w:rPr>
            </w:pPr>
            <w:hyperlink r:id="rId230" w:history="1">
              <w:r w:rsidR="000E2295" w:rsidRPr="009759C9">
                <w:rPr>
                  <w:rStyle w:val="Hyperlink"/>
                  <w:bCs/>
                  <w:sz w:val="17"/>
                  <w:szCs w:val="17"/>
                </w:rPr>
                <w:t xml:space="preserve">COVID-19: gaps in credit risk management identified </w:t>
              </w:r>
            </w:hyperlink>
            <w:r w:rsidR="000E2295" w:rsidRPr="009759C9">
              <w:rPr>
                <w:bCs/>
                <w:sz w:val="17"/>
                <w:szCs w:val="17"/>
              </w:rPr>
              <w:t xml:space="preserve"> </w:t>
            </w:r>
          </w:p>
          <w:p w14:paraId="04C16FDD" w14:textId="77777777" w:rsidR="000E2295" w:rsidRPr="009759C9" w:rsidRDefault="000E2295" w:rsidP="00E41EF4">
            <w:pPr>
              <w:jc w:val="left"/>
              <w:rPr>
                <w:b/>
                <w:bCs/>
              </w:rPr>
            </w:pPr>
          </w:p>
        </w:tc>
        <w:tc>
          <w:tcPr>
            <w:tcW w:w="1819" w:type="dxa"/>
            <w:shd w:val="clear" w:color="auto" w:fill="auto"/>
          </w:tcPr>
          <w:p w14:paraId="0BED17E0" w14:textId="77777777" w:rsidR="000E2295" w:rsidRPr="009759C9" w:rsidRDefault="000E2295" w:rsidP="00003826">
            <w:pPr>
              <w:jc w:val="left"/>
              <w:rPr>
                <w:sz w:val="17"/>
                <w:szCs w:val="17"/>
              </w:rPr>
            </w:pPr>
          </w:p>
        </w:tc>
        <w:tc>
          <w:tcPr>
            <w:tcW w:w="2155" w:type="dxa"/>
            <w:shd w:val="clear" w:color="auto" w:fill="auto"/>
          </w:tcPr>
          <w:p w14:paraId="21B9B4C2" w14:textId="1D948892" w:rsidR="000E2295" w:rsidRPr="009759C9" w:rsidRDefault="00366663" w:rsidP="00003826">
            <w:pPr>
              <w:jc w:val="left"/>
              <w:rPr>
                <w:sz w:val="17"/>
                <w:szCs w:val="17"/>
              </w:rPr>
            </w:pPr>
            <w:r w:rsidRPr="009759C9">
              <w:rPr>
                <w:sz w:val="17"/>
                <w:szCs w:val="17"/>
              </w:rPr>
              <w:t xml:space="preserve">ECB supervised financial institutions </w:t>
            </w:r>
          </w:p>
        </w:tc>
        <w:tc>
          <w:tcPr>
            <w:tcW w:w="5523" w:type="dxa"/>
            <w:shd w:val="clear" w:color="auto" w:fill="auto"/>
          </w:tcPr>
          <w:p w14:paraId="53BDB5E6" w14:textId="595F7753" w:rsidR="00366663" w:rsidRPr="009759C9" w:rsidRDefault="00366663" w:rsidP="00366663">
            <w:pPr>
              <w:jc w:val="left"/>
              <w:rPr>
                <w:bCs/>
                <w:sz w:val="17"/>
                <w:szCs w:val="17"/>
              </w:rPr>
            </w:pPr>
            <w:r w:rsidRPr="009759C9">
              <w:rPr>
                <w:bCs/>
                <w:sz w:val="17"/>
                <w:szCs w:val="17"/>
              </w:rPr>
              <w:t xml:space="preserve">As part of its coordinated coronavirus credit risk strategy, ECB Banking Supervision has examined whether banks are operationally prepared to deal with an increase of distressed debtors by assessing their compliance with the July 2020 supervisory expectations. The results of the assessments highlighted the following issues: </w:t>
            </w:r>
          </w:p>
          <w:p w14:paraId="2FF81DA2" w14:textId="77777777" w:rsidR="00366663" w:rsidRPr="009759C9" w:rsidRDefault="00366663" w:rsidP="00366663">
            <w:pPr>
              <w:numPr>
                <w:ilvl w:val="0"/>
                <w:numId w:val="36"/>
              </w:numPr>
              <w:jc w:val="left"/>
              <w:rPr>
                <w:bCs/>
                <w:sz w:val="17"/>
                <w:szCs w:val="17"/>
              </w:rPr>
            </w:pPr>
            <w:r w:rsidRPr="009759C9">
              <w:rPr>
                <w:bCs/>
                <w:sz w:val="17"/>
                <w:szCs w:val="17"/>
              </w:rPr>
              <w:t xml:space="preserve">It is essential that banks have in place a strong data infrastructure as it underpins a bank’s ability to understand the risks it is facing. </w:t>
            </w:r>
          </w:p>
          <w:p w14:paraId="5C95AAF7" w14:textId="77777777" w:rsidR="00366663" w:rsidRPr="009759C9" w:rsidRDefault="00366663" w:rsidP="00366663">
            <w:pPr>
              <w:numPr>
                <w:ilvl w:val="0"/>
                <w:numId w:val="36"/>
              </w:numPr>
              <w:jc w:val="left"/>
              <w:rPr>
                <w:bCs/>
                <w:sz w:val="17"/>
                <w:szCs w:val="17"/>
              </w:rPr>
            </w:pPr>
            <w:r w:rsidRPr="009759C9">
              <w:rPr>
                <w:bCs/>
                <w:sz w:val="17"/>
                <w:szCs w:val="17"/>
              </w:rPr>
              <w:t xml:space="preserve">Borrowers in distress should be identified early so that viable borrowers can be provided with sustainable solutions in a timely manner. This would reduce the economic impact of the pandemic for both debtors and banks. </w:t>
            </w:r>
          </w:p>
          <w:p w14:paraId="74CC9AC5" w14:textId="77777777" w:rsidR="00366663" w:rsidRPr="009759C9" w:rsidRDefault="00366663" w:rsidP="00366663">
            <w:pPr>
              <w:numPr>
                <w:ilvl w:val="0"/>
                <w:numId w:val="36"/>
              </w:numPr>
              <w:jc w:val="left"/>
              <w:rPr>
                <w:bCs/>
                <w:sz w:val="17"/>
                <w:szCs w:val="17"/>
              </w:rPr>
            </w:pPr>
            <w:r w:rsidRPr="009759C9">
              <w:rPr>
                <w:bCs/>
                <w:sz w:val="17"/>
                <w:szCs w:val="17"/>
              </w:rPr>
              <w:t>An effective monitoring framework is important for banks to be able to identify any increased strain on resources so that they can address issues quickly.</w:t>
            </w:r>
          </w:p>
          <w:p w14:paraId="6C583BC8" w14:textId="77777777" w:rsidR="000E2295" w:rsidRPr="009759C9" w:rsidRDefault="000E2295" w:rsidP="00E41EF4">
            <w:pPr>
              <w:jc w:val="left"/>
              <w:rPr>
                <w:sz w:val="17"/>
                <w:szCs w:val="17"/>
              </w:rPr>
            </w:pPr>
          </w:p>
        </w:tc>
      </w:tr>
      <w:tr w:rsidR="009B53ED" w:rsidRPr="000218B2" w14:paraId="7F483649" w14:textId="77777777" w:rsidTr="001C278A">
        <w:trPr>
          <w:cantSplit/>
        </w:trPr>
        <w:tc>
          <w:tcPr>
            <w:tcW w:w="1097" w:type="dxa"/>
            <w:shd w:val="clear" w:color="auto" w:fill="auto"/>
          </w:tcPr>
          <w:p w14:paraId="1C461701" w14:textId="0E51CD07" w:rsidR="009B53ED" w:rsidRPr="009759C9" w:rsidRDefault="009B53ED" w:rsidP="00003826">
            <w:pPr>
              <w:jc w:val="left"/>
              <w:rPr>
                <w:b/>
                <w:sz w:val="17"/>
                <w:szCs w:val="17"/>
              </w:rPr>
            </w:pPr>
            <w:r w:rsidRPr="009759C9">
              <w:rPr>
                <w:b/>
                <w:sz w:val="17"/>
                <w:szCs w:val="17"/>
              </w:rPr>
              <w:t>19 May 2021</w:t>
            </w:r>
          </w:p>
        </w:tc>
        <w:tc>
          <w:tcPr>
            <w:tcW w:w="1880" w:type="dxa"/>
            <w:shd w:val="clear" w:color="auto" w:fill="auto"/>
          </w:tcPr>
          <w:p w14:paraId="7257DA20" w14:textId="77777777" w:rsidR="00F02247" w:rsidRPr="009759C9" w:rsidRDefault="00A324C3" w:rsidP="00F02247">
            <w:pPr>
              <w:jc w:val="left"/>
              <w:rPr>
                <w:bCs/>
                <w:sz w:val="17"/>
                <w:szCs w:val="17"/>
              </w:rPr>
            </w:pPr>
            <w:hyperlink r:id="rId231" w:history="1">
              <w:r w:rsidR="00F02247" w:rsidRPr="009759C9">
                <w:rPr>
                  <w:rStyle w:val="Hyperlink"/>
                  <w:bCs/>
                  <w:sz w:val="17"/>
                  <w:szCs w:val="17"/>
                </w:rPr>
                <w:t>NPLs in the euro area: progress so far and COVID-19 outlook</w:t>
              </w:r>
            </w:hyperlink>
            <w:r w:rsidR="00F02247" w:rsidRPr="009759C9">
              <w:rPr>
                <w:bCs/>
                <w:sz w:val="17"/>
                <w:szCs w:val="17"/>
              </w:rPr>
              <w:t xml:space="preserve"> </w:t>
            </w:r>
          </w:p>
          <w:p w14:paraId="47ED54C2" w14:textId="77777777" w:rsidR="009B53ED" w:rsidRPr="009759C9" w:rsidRDefault="009B53ED" w:rsidP="000E2295">
            <w:pPr>
              <w:jc w:val="left"/>
              <w:rPr>
                <w:sz w:val="17"/>
                <w:szCs w:val="17"/>
              </w:rPr>
            </w:pPr>
          </w:p>
        </w:tc>
        <w:tc>
          <w:tcPr>
            <w:tcW w:w="1819" w:type="dxa"/>
            <w:shd w:val="clear" w:color="auto" w:fill="auto"/>
          </w:tcPr>
          <w:p w14:paraId="76D976AE" w14:textId="77777777" w:rsidR="009B53ED" w:rsidRPr="009759C9" w:rsidRDefault="009B53ED" w:rsidP="00003826">
            <w:pPr>
              <w:jc w:val="left"/>
              <w:rPr>
                <w:sz w:val="17"/>
                <w:szCs w:val="17"/>
              </w:rPr>
            </w:pPr>
          </w:p>
        </w:tc>
        <w:tc>
          <w:tcPr>
            <w:tcW w:w="2155" w:type="dxa"/>
            <w:shd w:val="clear" w:color="auto" w:fill="auto"/>
          </w:tcPr>
          <w:p w14:paraId="0FAAFA1C" w14:textId="5F287DAD" w:rsidR="009B53ED" w:rsidRPr="009759C9" w:rsidRDefault="00F02247" w:rsidP="00003826">
            <w:pPr>
              <w:jc w:val="left"/>
              <w:rPr>
                <w:sz w:val="17"/>
                <w:szCs w:val="17"/>
              </w:rPr>
            </w:pPr>
            <w:r w:rsidRPr="009759C9">
              <w:rPr>
                <w:sz w:val="17"/>
                <w:szCs w:val="17"/>
              </w:rPr>
              <w:t xml:space="preserve">ECB supervised financial institutions </w:t>
            </w:r>
          </w:p>
        </w:tc>
        <w:tc>
          <w:tcPr>
            <w:tcW w:w="5523" w:type="dxa"/>
            <w:shd w:val="clear" w:color="auto" w:fill="auto"/>
          </w:tcPr>
          <w:p w14:paraId="63A03E6B" w14:textId="1A6C1829" w:rsidR="00F02247" w:rsidRPr="009759C9" w:rsidRDefault="00F02247" w:rsidP="00F02247">
            <w:pPr>
              <w:jc w:val="left"/>
              <w:rPr>
                <w:bCs/>
                <w:sz w:val="17"/>
                <w:szCs w:val="17"/>
              </w:rPr>
            </w:pPr>
            <w:r w:rsidRPr="009759C9">
              <w:rPr>
                <w:bCs/>
                <w:sz w:val="17"/>
                <w:szCs w:val="17"/>
              </w:rPr>
              <w:t xml:space="preserve">ECB Banking supervision has published a report on the current and projected status of non-performing loans in the euro area. The key findings include: </w:t>
            </w:r>
          </w:p>
          <w:p w14:paraId="158776A6" w14:textId="77777777" w:rsidR="00F02247" w:rsidRPr="009759C9" w:rsidRDefault="00F02247" w:rsidP="00F02247">
            <w:pPr>
              <w:numPr>
                <w:ilvl w:val="0"/>
                <w:numId w:val="37"/>
              </w:numPr>
              <w:jc w:val="left"/>
              <w:rPr>
                <w:bCs/>
                <w:sz w:val="17"/>
                <w:szCs w:val="17"/>
              </w:rPr>
            </w:pPr>
            <w:r w:rsidRPr="009759C9">
              <w:rPr>
                <w:bCs/>
                <w:sz w:val="17"/>
                <w:szCs w:val="17"/>
              </w:rPr>
              <w:t xml:space="preserve">Between Q4 2014 – Q4 2020 gross NPLs decreased from €998 billion to €443 billion. Pandemic induced deterioration is not yet visible in the aggregate NPL ratio. </w:t>
            </w:r>
          </w:p>
          <w:p w14:paraId="08DF87BD" w14:textId="77777777" w:rsidR="00F02247" w:rsidRPr="009759C9" w:rsidRDefault="00F02247" w:rsidP="00F02247">
            <w:pPr>
              <w:numPr>
                <w:ilvl w:val="0"/>
                <w:numId w:val="37"/>
              </w:numPr>
              <w:jc w:val="left"/>
              <w:rPr>
                <w:bCs/>
                <w:sz w:val="17"/>
                <w:szCs w:val="17"/>
              </w:rPr>
            </w:pPr>
            <w:r w:rsidRPr="009759C9">
              <w:rPr>
                <w:bCs/>
                <w:sz w:val="17"/>
                <w:szCs w:val="17"/>
              </w:rPr>
              <w:t xml:space="preserve">High-NPL banks continued to reduce overall NPL positions throughout 2020. </w:t>
            </w:r>
          </w:p>
          <w:p w14:paraId="02671171" w14:textId="77777777" w:rsidR="00F02247" w:rsidRPr="009759C9" w:rsidRDefault="00F02247" w:rsidP="00F02247">
            <w:pPr>
              <w:numPr>
                <w:ilvl w:val="0"/>
                <w:numId w:val="37"/>
              </w:numPr>
              <w:jc w:val="left"/>
              <w:rPr>
                <w:bCs/>
                <w:sz w:val="17"/>
                <w:szCs w:val="17"/>
              </w:rPr>
            </w:pPr>
            <w:r w:rsidRPr="009759C9">
              <w:rPr>
                <w:bCs/>
                <w:sz w:val="17"/>
                <w:szCs w:val="17"/>
              </w:rPr>
              <w:t xml:space="preserve">Banks project increased profitability throughout 2021 due to reduced loan loss provisions. </w:t>
            </w:r>
          </w:p>
          <w:p w14:paraId="019E7FEC" w14:textId="66BF2856" w:rsidR="00F02247" w:rsidRPr="009759C9" w:rsidRDefault="00F02247" w:rsidP="00F02247">
            <w:pPr>
              <w:numPr>
                <w:ilvl w:val="0"/>
                <w:numId w:val="37"/>
              </w:numPr>
              <w:jc w:val="left"/>
              <w:rPr>
                <w:bCs/>
                <w:sz w:val="17"/>
                <w:szCs w:val="17"/>
              </w:rPr>
            </w:pPr>
            <w:r w:rsidRPr="009759C9">
              <w:rPr>
                <w:bCs/>
                <w:sz w:val="17"/>
                <w:szCs w:val="17"/>
              </w:rPr>
              <w:t xml:space="preserve">Outstanding borrower relief measures, the asset quality of COVID-19 loans, vulnerable sectors and heterogeneous practices/outcomes are all areas of supervisory concern. </w:t>
            </w:r>
          </w:p>
          <w:p w14:paraId="389E4119" w14:textId="77777777" w:rsidR="00F02247" w:rsidRPr="009759C9" w:rsidRDefault="00F02247" w:rsidP="00F02247">
            <w:pPr>
              <w:jc w:val="left"/>
              <w:rPr>
                <w:bCs/>
                <w:sz w:val="17"/>
                <w:szCs w:val="17"/>
              </w:rPr>
            </w:pPr>
            <w:r w:rsidRPr="009759C9">
              <w:rPr>
                <w:bCs/>
                <w:sz w:val="17"/>
                <w:szCs w:val="17"/>
              </w:rPr>
              <w:t xml:space="preserve">Overall the report notes that the macro outlook has significantly improved since the beginning of the pandemic. </w:t>
            </w:r>
          </w:p>
          <w:p w14:paraId="2D49B241" w14:textId="77777777" w:rsidR="009B53ED" w:rsidRPr="009759C9" w:rsidRDefault="009B53ED" w:rsidP="00366663">
            <w:pPr>
              <w:jc w:val="left"/>
              <w:rPr>
                <w:bCs/>
                <w:sz w:val="17"/>
                <w:szCs w:val="17"/>
              </w:rPr>
            </w:pPr>
          </w:p>
        </w:tc>
      </w:tr>
      <w:tr w:rsidR="00AC6090" w:rsidRPr="000218B2" w14:paraId="64667E9B" w14:textId="77777777" w:rsidTr="001C278A">
        <w:trPr>
          <w:cantSplit/>
        </w:trPr>
        <w:tc>
          <w:tcPr>
            <w:tcW w:w="1097" w:type="dxa"/>
            <w:shd w:val="clear" w:color="auto" w:fill="auto"/>
          </w:tcPr>
          <w:p w14:paraId="616A9545" w14:textId="3EC75270" w:rsidR="00AC6090" w:rsidRPr="009759C9" w:rsidRDefault="00AC6090" w:rsidP="00003826">
            <w:pPr>
              <w:jc w:val="left"/>
              <w:rPr>
                <w:b/>
                <w:sz w:val="17"/>
                <w:szCs w:val="17"/>
              </w:rPr>
            </w:pPr>
            <w:r w:rsidRPr="009759C9">
              <w:rPr>
                <w:b/>
                <w:sz w:val="17"/>
                <w:szCs w:val="17"/>
              </w:rPr>
              <w:t xml:space="preserve">18 June 2021 </w:t>
            </w:r>
          </w:p>
        </w:tc>
        <w:tc>
          <w:tcPr>
            <w:tcW w:w="1880" w:type="dxa"/>
            <w:shd w:val="clear" w:color="auto" w:fill="auto"/>
          </w:tcPr>
          <w:p w14:paraId="4EFFDE88" w14:textId="77777777" w:rsidR="00A768C9" w:rsidRPr="009759C9" w:rsidRDefault="00A324C3" w:rsidP="00A768C9">
            <w:pPr>
              <w:jc w:val="left"/>
              <w:rPr>
                <w:sz w:val="17"/>
                <w:szCs w:val="17"/>
              </w:rPr>
            </w:pPr>
            <w:hyperlink r:id="rId232" w:history="1">
              <w:r w:rsidR="00A768C9" w:rsidRPr="009759C9">
                <w:rPr>
                  <w:rStyle w:val="Hyperlink"/>
                  <w:sz w:val="17"/>
                  <w:szCs w:val="17"/>
                </w:rPr>
                <w:t xml:space="preserve">ECB extends leverage ratio relief for banks until March 2022 </w:t>
              </w:r>
            </w:hyperlink>
            <w:r w:rsidR="00A768C9" w:rsidRPr="009759C9">
              <w:rPr>
                <w:sz w:val="17"/>
                <w:szCs w:val="17"/>
              </w:rPr>
              <w:t xml:space="preserve"> </w:t>
            </w:r>
          </w:p>
          <w:p w14:paraId="50ED7113" w14:textId="77777777" w:rsidR="00AC6090" w:rsidRPr="009759C9" w:rsidRDefault="00AC6090" w:rsidP="00F02247">
            <w:pPr>
              <w:jc w:val="left"/>
            </w:pPr>
          </w:p>
        </w:tc>
        <w:tc>
          <w:tcPr>
            <w:tcW w:w="1819" w:type="dxa"/>
            <w:shd w:val="clear" w:color="auto" w:fill="auto"/>
          </w:tcPr>
          <w:p w14:paraId="4017CD27" w14:textId="77777777" w:rsidR="00AC6090" w:rsidRPr="009759C9" w:rsidRDefault="00AC6090" w:rsidP="00003826">
            <w:pPr>
              <w:jc w:val="left"/>
              <w:rPr>
                <w:sz w:val="17"/>
                <w:szCs w:val="17"/>
              </w:rPr>
            </w:pPr>
          </w:p>
        </w:tc>
        <w:tc>
          <w:tcPr>
            <w:tcW w:w="2155" w:type="dxa"/>
            <w:shd w:val="clear" w:color="auto" w:fill="auto"/>
          </w:tcPr>
          <w:p w14:paraId="6C26368B" w14:textId="2E0BCAE2" w:rsidR="00AC6090" w:rsidRPr="009759C9" w:rsidRDefault="00AC6090" w:rsidP="00003826">
            <w:pPr>
              <w:jc w:val="left"/>
              <w:rPr>
                <w:sz w:val="17"/>
                <w:szCs w:val="17"/>
              </w:rPr>
            </w:pPr>
            <w:r w:rsidRPr="009759C9">
              <w:rPr>
                <w:sz w:val="17"/>
                <w:szCs w:val="17"/>
              </w:rPr>
              <w:t xml:space="preserve">ECB supervised financial institutions </w:t>
            </w:r>
          </w:p>
        </w:tc>
        <w:tc>
          <w:tcPr>
            <w:tcW w:w="5523" w:type="dxa"/>
            <w:shd w:val="clear" w:color="auto" w:fill="auto"/>
          </w:tcPr>
          <w:p w14:paraId="1107697C" w14:textId="3A8ACFE2" w:rsidR="00AC6090" w:rsidRPr="009759C9" w:rsidRDefault="00727A3D" w:rsidP="00257137">
            <w:pPr>
              <w:jc w:val="left"/>
              <w:rPr>
                <w:bCs/>
                <w:sz w:val="17"/>
                <w:szCs w:val="17"/>
              </w:rPr>
            </w:pPr>
            <w:r w:rsidRPr="009759C9">
              <w:rPr>
                <w:bCs/>
                <w:sz w:val="17"/>
                <w:szCs w:val="17"/>
              </w:rPr>
              <w:t xml:space="preserve">The ECB has </w:t>
            </w:r>
            <w:r w:rsidR="00A768C9" w:rsidRPr="009759C9">
              <w:rPr>
                <w:bCs/>
                <w:sz w:val="17"/>
                <w:szCs w:val="17"/>
              </w:rPr>
              <w:t>announced an</w:t>
            </w:r>
            <w:r w:rsidR="00E41AF3" w:rsidRPr="009759C9">
              <w:rPr>
                <w:bCs/>
                <w:sz w:val="17"/>
                <w:szCs w:val="17"/>
              </w:rPr>
              <w:t xml:space="preserve"> extension to</w:t>
            </w:r>
            <w:r w:rsidRPr="009759C9">
              <w:rPr>
                <w:bCs/>
                <w:sz w:val="17"/>
                <w:szCs w:val="17"/>
              </w:rPr>
              <w:t xml:space="preserve"> the leverage ratio relief until March 2022. The relief </w:t>
            </w:r>
            <w:r w:rsidR="00E41AF3" w:rsidRPr="009759C9">
              <w:rPr>
                <w:bCs/>
                <w:sz w:val="17"/>
                <w:szCs w:val="17"/>
              </w:rPr>
              <w:t>allows</w:t>
            </w:r>
            <w:r w:rsidRPr="009759C9">
              <w:rPr>
                <w:bCs/>
                <w:sz w:val="17"/>
                <w:szCs w:val="17"/>
              </w:rPr>
              <w:t xml:space="preserve"> directly supervised banks to exclude various central bank exposures from the leverage ratio. Such assets include coins and banknotes as well as deposits banks hold at the central bank. </w:t>
            </w:r>
            <w:r w:rsidR="00257137" w:rsidRPr="009759C9">
              <w:rPr>
                <w:bCs/>
                <w:sz w:val="17"/>
                <w:szCs w:val="17"/>
              </w:rPr>
              <w:t xml:space="preserve">Banks which decide to exclude central bank exposures from their total exposure measures will need to recalibrate their 3% leverage ratio requirement, this will result in their leverage ratio requirement being slightly higher than 3%. </w:t>
            </w:r>
          </w:p>
        </w:tc>
      </w:tr>
      <w:tr w:rsidR="00FE2FC1" w:rsidRPr="000218B2" w14:paraId="4CB96709" w14:textId="77777777" w:rsidTr="001C278A">
        <w:trPr>
          <w:cantSplit/>
        </w:trPr>
        <w:tc>
          <w:tcPr>
            <w:tcW w:w="1097" w:type="dxa"/>
            <w:shd w:val="clear" w:color="auto" w:fill="auto"/>
          </w:tcPr>
          <w:p w14:paraId="7B949798" w14:textId="20FD3039" w:rsidR="00FE2FC1" w:rsidRPr="009759C9" w:rsidRDefault="00FE2FC1" w:rsidP="00003826">
            <w:pPr>
              <w:jc w:val="left"/>
              <w:rPr>
                <w:b/>
                <w:sz w:val="17"/>
                <w:szCs w:val="17"/>
              </w:rPr>
            </w:pPr>
            <w:r w:rsidRPr="009759C9">
              <w:rPr>
                <w:b/>
                <w:sz w:val="17"/>
                <w:szCs w:val="17"/>
              </w:rPr>
              <w:t>18 June 2021</w:t>
            </w:r>
          </w:p>
        </w:tc>
        <w:tc>
          <w:tcPr>
            <w:tcW w:w="1880" w:type="dxa"/>
            <w:shd w:val="clear" w:color="auto" w:fill="auto"/>
          </w:tcPr>
          <w:p w14:paraId="6ACC70D2" w14:textId="77777777" w:rsidR="008E49EE" w:rsidRPr="009759C9" w:rsidRDefault="00A324C3" w:rsidP="008E49EE">
            <w:pPr>
              <w:jc w:val="left"/>
              <w:rPr>
                <w:sz w:val="17"/>
                <w:szCs w:val="17"/>
              </w:rPr>
            </w:pPr>
            <w:hyperlink r:id="rId233" w:history="1">
              <w:r w:rsidR="008E49EE" w:rsidRPr="009759C9">
                <w:rPr>
                  <w:rStyle w:val="Hyperlink"/>
                  <w:sz w:val="17"/>
                  <w:szCs w:val="17"/>
                </w:rPr>
                <w:t xml:space="preserve">ECB updates FAQs on its supervisory measures in reaction to the coronavirus </w:t>
              </w:r>
            </w:hyperlink>
            <w:r w:rsidR="008E49EE" w:rsidRPr="009759C9">
              <w:rPr>
                <w:sz w:val="17"/>
                <w:szCs w:val="17"/>
              </w:rPr>
              <w:t xml:space="preserve"> </w:t>
            </w:r>
          </w:p>
          <w:p w14:paraId="0E889024" w14:textId="77777777" w:rsidR="00FE2FC1" w:rsidRPr="009759C9" w:rsidRDefault="00FE2FC1" w:rsidP="00A768C9">
            <w:pPr>
              <w:jc w:val="left"/>
            </w:pPr>
          </w:p>
        </w:tc>
        <w:tc>
          <w:tcPr>
            <w:tcW w:w="1819" w:type="dxa"/>
            <w:shd w:val="clear" w:color="auto" w:fill="auto"/>
          </w:tcPr>
          <w:p w14:paraId="280E7A8A" w14:textId="77777777" w:rsidR="00FE2FC1" w:rsidRPr="009759C9" w:rsidRDefault="00FE2FC1" w:rsidP="00003826">
            <w:pPr>
              <w:jc w:val="left"/>
              <w:rPr>
                <w:sz w:val="17"/>
                <w:szCs w:val="17"/>
              </w:rPr>
            </w:pPr>
          </w:p>
        </w:tc>
        <w:tc>
          <w:tcPr>
            <w:tcW w:w="2155" w:type="dxa"/>
            <w:shd w:val="clear" w:color="auto" w:fill="auto"/>
          </w:tcPr>
          <w:p w14:paraId="4E7FC238" w14:textId="3BEB15E6" w:rsidR="00FE2FC1" w:rsidRPr="009759C9" w:rsidRDefault="008E49EE" w:rsidP="00003826">
            <w:pPr>
              <w:jc w:val="left"/>
              <w:rPr>
                <w:sz w:val="17"/>
                <w:szCs w:val="17"/>
              </w:rPr>
            </w:pPr>
            <w:r w:rsidRPr="009759C9">
              <w:rPr>
                <w:sz w:val="17"/>
                <w:szCs w:val="17"/>
              </w:rPr>
              <w:t xml:space="preserve">ECB supervised financial institutions </w:t>
            </w:r>
          </w:p>
        </w:tc>
        <w:tc>
          <w:tcPr>
            <w:tcW w:w="5523" w:type="dxa"/>
            <w:shd w:val="clear" w:color="auto" w:fill="auto"/>
          </w:tcPr>
          <w:p w14:paraId="75391FD7" w14:textId="1E906A7A" w:rsidR="00FE2FC1" w:rsidRPr="009759C9" w:rsidRDefault="00FE2FC1" w:rsidP="00257137">
            <w:pPr>
              <w:jc w:val="left"/>
              <w:rPr>
                <w:bCs/>
                <w:sz w:val="17"/>
                <w:szCs w:val="17"/>
              </w:rPr>
            </w:pPr>
            <w:r w:rsidRPr="009759C9">
              <w:rPr>
                <w:bCs/>
                <w:sz w:val="17"/>
                <w:szCs w:val="17"/>
              </w:rPr>
              <w:t>The ECB has updated its FAQs on ECB supervisory measures in reaction to the c</w:t>
            </w:r>
            <w:r w:rsidR="008E49EE" w:rsidRPr="009759C9">
              <w:rPr>
                <w:bCs/>
                <w:sz w:val="17"/>
                <w:szCs w:val="17"/>
              </w:rPr>
              <w:t xml:space="preserve">oronavirus. The document covers the following topics: </w:t>
            </w:r>
          </w:p>
          <w:p w14:paraId="2E56DC51" w14:textId="77777777" w:rsidR="008E49EE" w:rsidRPr="009759C9" w:rsidRDefault="008E49EE" w:rsidP="008E49EE">
            <w:pPr>
              <w:pStyle w:val="ListParagraph"/>
              <w:numPr>
                <w:ilvl w:val="0"/>
                <w:numId w:val="39"/>
              </w:numPr>
              <w:rPr>
                <w:bCs/>
                <w:sz w:val="17"/>
                <w:szCs w:val="17"/>
              </w:rPr>
            </w:pPr>
            <w:r w:rsidRPr="009759C9">
              <w:rPr>
                <w:bCs/>
                <w:sz w:val="17"/>
                <w:szCs w:val="17"/>
              </w:rPr>
              <w:t>Relief measures regarding asset quality deterioration and non-performing loans</w:t>
            </w:r>
          </w:p>
          <w:p w14:paraId="2E419399" w14:textId="77777777" w:rsidR="008E49EE" w:rsidRPr="009759C9" w:rsidRDefault="008E49EE" w:rsidP="008E49EE">
            <w:pPr>
              <w:pStyle w:val="ListParagraph"/>
              <w:numPr>
                <w:ilvl w:val="0"/>
                <w:numId w:val="39"/>
              </w:numPr>
              <w:rPr>
                <w:bCs/>
                <w:sz w:val="17"/>
                <w:szCs w:val="17"/>
              </w:rPr>
            </w:pPr>
            <w:r w:rsidRPr="009759C9">
              <w:rPr>
                <w:bCs/>
                <w:sz w:val="17"/>
                <w:szCs w:val="17"/>
              </w:rPr>
              <w:t>Relief measures regarding the operational aspects of supervision</w:t>
            </w:r>
          </w:p>
          <w:p w14:paraId="3503F3F2" w14:textId="77777777" w:rsidR="008E49EE" w:rsidRPr="009759C9" w:rsidRDefault="008E49EE" w:rsidP="008E49EE">
            <w:pPr>
              <w:pStyle w:val="ListParagraph"/>
              <w:numPr>
                <w:ilvl w:val="0"/>
                <w:numId w:val="39"/>
              </w:numPr>
              <w:rPr>
                <w:bCs/>
                <w:sz w:val="17"/>
                <w:szCs w:val="17"/>
              </w:rPr>
            </w:pPr>
            <w:r w:rsidRPr="009759C9">
              <w:rPr>
                <w:bCs/>
                <w:sz w:val="17"/>
                <w:szCs w:val="17"/>
              </w:rPr>
              <w:t>Relief measures regarding capital and liquidity requirements</w:t>
            </w:r>
          </w:p>
          <w:p w14:paraId="0377073F" w14:textId="77777777" w:rsidR="008E49EE" w:rsidRPr="009759C9" w:rsidRDefault="008E49EE" w:rsidP="008E49EE">
            <w:pPr>
              <w:pStyle w:val="ListParagraph"/>
              <w:numPr>
                <w:ilvl w:val="0"/>
                <w:numId w:val="39"/>
              </w:numPr>
              <w:rPr>
                <w:bCs/>
                <w:sz w:val="17"/>
                <w:szCs w:val="17"/>
              </w:rPr>
            </w:pPr>
            <w:r w:rsidRPr="009759C9">
              <w:rPr>
                <w:bCs/>
                <w:sz w:val="17"/>
                <w:szCs w:val="17"/>
              </w:rPr>
              <w:t>Restrictions on dividends and variable remuneration</w:t>
            </w:r>
          </w:p>
          <w:p w14:paraId="164AC021" w14:textId="0E13DD64" w:rsidR="008E49EE" w:rsidRPr="009759C9" w:rsidRDefault="008E49EE" w:rsidP="008E49EE">
            <w:pPr>
              <w:pStyle w:val="ListParagraph"/>
              <w:numPr>
                <w:ilvl w:val="0"/>
                <w:numId w:val="39"/>
              </w:numPr>
              <w:rPr>
                <w:b/>
                <w:bCs/>
                <w:sz w:val="17"/>
                <w:szCs w:val="17"/>
              </w:rPr>
            </w:pPr>
            <w:r w:rsidRPr="009759C9">
              <w:rPr>
                <w:bCs/>
                <w:sz w:val="17"/>
                <w:szCs w:val="17"/>
              </w:rPr>
              <w:t>Other measures</w:t>
            </w:r>
            <w:bookmarkStart w:id="0" w:name="_GoBack"/>
            <w:bookmarkEnd w:id="0"/>
          </w:p>
        </w:tc>
      </w:tr>
      <w:tr w:rsidR="00003826" w:rsidRPr="00166D67" w14:paraId="7F11BC7B" w14:textId="77777777" w:rsidTr="001701F9">
        <w:trPr>
          <w:cantSplit/>
        </w:trPr>
        <w:tc>
          <w:tcPr>
            <w:tcW w:w="12474" w:type="dxa"/>
            <w:gridSpan w:val="5"/>
            <w:shd w:val="clear" w:color="auto" w:fill="2CD5C4" w:themeFill="accent1"/>
          </w:tcPr>
          <w:p w14:paraId="20D0A334" w14:textId="77777777" w:rsidR="00003826" w:rsidRPr="007F1827" w:rsidRDefault="00003826" w:rsidP="00003826">
            <w:pPr>
              <w:jc w:val="left"/>
              <w:rPr>
                <w:b/>
                <w:sz w:val="17"/>
                <w:szCs w:val="17"/>
              </w:rPr>
            </w:pPr>
            <w:r w:rsidRPr="007F1827">
              <w:rPr>
                <w:b/>
                <w:sz w:val="17"/>
                <w:szCs w:val="17"/>
              </w:rPr>
              <w:t>European Securities and Markets Authority (ESMA)</w:t>
            </w:r>
          </w:p>
        </w:tc>
      </w:tr>
      <w:tr w:rsidR="00003826" w:rsidRPr="00166D67" w14:paraId="5049D5C6" w14:textId="77777777" w:rsidTr="001701F9">
        <w:trPr>
          <w:cantSplit/>
        </w:trPr>
        <w:tc>
          <w:tcPr>
            <w:tcW w:w="1097" w:type="dxa"/>
          </w:tcPr>
          <w:p w14:paraId="6678BC88" w14:textId="77777777" w:rsidR="00003826" w:rsidRPr="007F1827" w:rsidRDefault="00003826" w:rsidP="00003826">
            <w:pPr>
              <w:jc w:val="left"/>
              <w:rPr>
                <w:b/>
                <w:sz w:val="17"/>
                <w:szCs w:val="17"/>
              </w:rPr>
            </w:pPr>
            <w:r w:rsidRPr="007F1827">
              <w:rPr>
                <w:b/>
                <w:sz w:val="17"/>
                <w:szCs w:val="17"/>
              </w:rPr>
              <w:t>11 March 2020</w:t>
            </w:r>
          </w:p>
        </w:tc>
        <w:tc>
          <w:tcPr>
            <w:tcW w:w="1880" w:type="dxa"/>
          </w:tcPr>
          <w:p w14:paraId="40E5A55E" w14:textId="5EE79639" w:rsidR="00003826" w:rsidRPr="00166D67" w:rsidRDefault="00A324C3" w:rsidP="00003826">
            <w:pPr>
              <w:jc w:val="left"/>
              <w:rPr>
                <w:sz w:val="17"/>
                <w:szCs w:val="17"/>
              </w:rPr>
            </w:pPr>
            <w:hyperlink r:id="rId234" w:history="1">
              <w:r w:rsidR="00003826" w:rsidRPr="00166D67">
                <w:rPr>
                  <w:rStyle w:val="Hyperlink"/>
                  <w:sz w:val="17"/>
                  <w:szCs w:val="17"/>
                </w:rPr>
                <w:t>ESMA recommends action by financial market participants for covid-19 impact</w:t>
              </w:r>
            </w:hyperlink>
          </w:p>
        </w:tc>
        <w:tc>
          <w:tcPr>
            <w:tcW w:w="1819" w:type="dxa"/>
          </w:tcPr>
          <w:p w14:paraId="4505D992" w14:textId="77777777" w:rsidR="00003826" w:rsidRPr="00166D67" w:rsidRDefault="00003826" w:rsidP="00003826">
            <w:pPr>
              <w:jc w:val="left"/>
              <w:rPr>
                <w:sz w:val="17"/>
                <w:szCs w:val="17"/>
              </w:rPr>
            </w:pPr>
          </w:p>
        </w:tc>
        <w:tc>
          <w:tcPr>
            <w:tcW w:w="2155" w:type="dxa"/>
          </w:tcPr>
          <w:p w14:paraId="0C788864" w14:textId="77777777" w:rsidR="00003826" w:rsidRPr="00166D67" w:rsidRDefault="00003826" w:rsidP="00003826">
            <w:pPr>
              <w:jc w:val="left"/>
              <w:rPr>
                <w:sz w:val="17"/>
                <w:szCs w:val="17"/>
              </w:rPr>
            </w:pPr>
            <w:r w:rsidRPr="00166D67">
              <w:rPr>
                <w:sz w:val="17"/>
                <w:szCs w:val="17"/>
              </w:rPr>
              <w:t>Financial Market Participants</w:t>
            </w:r>
          </w:p>
        </w:tc>
        <w:tc>
          <w:tcPr>
            <w:tcW w:w="5523" w:type="dxa"/>
          </w:tcPr>
          <w:p w14:paraId="07150959" w14:textId="78F2E9B0" w:rsidR="00003826" w:rsidRPr="00166D67" w:rsidRDefault="00003826" w:rsidP="00003826">
            <w:pPr>
              <w:jc w:val="left"/>
              <w:rPr>
                <w:sz w:val="17"/>
                <w:szCs w:val="17"/>
              </w:rPr>
            </w:pPr>
            <w:r w:rsidRPr="00166D67">
              <w:rPr>
                <w:sz w:val="17"/>
                <w:szCs w:val="17"/>
              </w:rPr>
              <w:t>ESMA has made the following recommendations to financial market participants:</w:t>
            </w:r>
          </w:p>
          <w:p w14:paraId="4D144478" w14:textId="77777777" w:rsidR="00003826" w:rsidRPr="00166D67" w:rsidRDefault="00003826" w:rsidP="00003826">
            <w:pPr>
              <w:pStyle w:val="ListParagraph"/>
              <w:numPr>
                <w:ilvl w:val="0"/>
                <w:numId w:val="11"/>
              </w:numPr>
              <w:jc w:val="left"/>
              <w:rPr>
                <w:sz w:val="17"/>
                <w:szCs w:val="17"/>
              </w:rPr>
            </w:pPr>
            <w:r w:rsidRPr="00166D67">
              <w:rPr>
                <w:b/>
                <w:sz w:val="17"/>
                <w:szCs w:val="17"/>
              </w:rPr>
              <w:t>Business Continuity Planning</w:t>
            </w:r>
            <w:r w:rsidRPr="00166D67">
              <w:rPr>
                <w:sz w:val="17"/>
                <w:szCs w:val="17"/>
              </w:rPr>
              <w:t>: All financial market participants, including infrastructures should be ready to apply their contingency plans, including deployment of business continuity measures, to ensure operational continuity in line with regulatory obligations;</w:t>
            </w:r>
          </w:p>
          <w:p w14:paraId="1D937EB8" w14:textId="77777777" w:rsidR="00003826" w:rsidRPr="00166D67" w:rsidRDefault="00003826" w:rsidP="00003826">
            <w:pPr>
              <w:pStyle w:val="ListParagraph"/>
              <w:numPr>
                <w:ilvl w:val="0"/>
                <w:numId w:val="11"/>
              </w:numPr>
              <w:jc w:val="left"/>
              <w:rPr>
                <w:sz w:val="17"/>
                <w:szCs w:val="17"/>
              </w:rPr>
            </w:pPr>
            <w:r w:rsidRPr="00166D67">
              <w:rPr>
                <w:b/>
                <w:sz w:val="17"/>
                <w:szCs w:val="17"/>
              </w:rPr>
              <w:t>Market disclosure</w:t>
            </w:r>
            <w:r w:rsidRPr="00166D67">
              <w:rPr>
                <w:sz w:val="17"/>
                <w:szCs w:val="17"/>
              </w:rPr>
              <w:t>: issuers should disclose as soon as possible any relevant significant information concerning the impacts of COVID-19 on their fundamentals, prospects or financial situation in accordance with their transparency obligations under the Market Abuse Regulation;</w:t>
            </w:r>
          </w:p>
          <w:p w14:paraId="3E712B7D" w14:textId="77777777" w:rsidR="00003826" w:rsidRPr="00166D67" w:rsidRDefault="00003826" w:rsidP="00003826">
            <w:pPr>
              <w:pStyle w:val="ListParagraph"/>
              <w:numPr>
                <w:ilvl w:val="0"/>
                <w:numId w:val="11"/>
              </w:numPr>
              <w:jc w:val="left"/>
              <w:rPr>
                <w:sz w:val="17"/>
                <w:szCs w:val="17"/>
              </w:rPr>
            </w:pPr>
            <w:r w:rsidRPr="00166D67">
              <w:rPr>
                <w:b/>
                <w:sz w:val="17"/>
                <w:szCs w:val="17"/>
              </w:rPr>
              <w:t>Financial Reporting</w:t>
            </w:r>
            <w:r w:rsidRPr="00166D67">
              <w:rPr>
                <w:sz w:val="17"/>
                <w:szCs w:val="17"/>
              </w:rPr>
              <w:t>: issuers should provide transparency on the actual and potential impacts of COVID-19, to the extent possible based on both a qualitative and quantitative assessment on their business activities, financial situation and economic performance in their 2019 year-end financial report if these have not yet been finalised or otherwise in their interim financial reporting disclosures; and</w:t>
            </w:r>
          </w:p>
          <w:p w14:paraId="169E41AA" w14:textId="77777777" w:rsidR="00003826" w:rsidRPr="00166D67" w:rsidRDefault="00003826" w:rsidP="00003826">
            <w:pPr>
              <w:pStyle w:val="ListParagraph"/>
              <w:numPr>
                <w:ilvl w:val="0"/>
                <w:numId w:val="11"/>
              </w:numPr>
              <w:jc w:val="left"/>
              <w:rPr>
                <w:sz w:val="17"/>
                <w:szCs w:val="17"/>
              </w:rPr>
            </w:pPr>
            <w:r w:rsidRPr="00166D67">
              <w:rPr>
                <w:b/>
                <w:sz w:val="17"/>
                <w:szCs w:val="17"/>
              </w:rPr>
              <w:t>Fund Management</w:t>
            </w:r>
            <w:r w:rsidRPr="00166D67">
              <w:rPr>
                <w:sz w:val="17"/>
                <w:szCs w:val="17"/>
              </w:rPr>
              <w:t>: asset managers should continue to apply the requirements on risk management, and react accordingly.</w:t>
            </w:r>
          </w:p>
        </w:tc>
      </w:tr>
      <w:tr w:rsidR="00003826" w:rsidRPr="00166D67" w14:paraId="63001FE4" w14:textId="77777777" w:rsidTr="001701F9">
        <w:trPr>
          <w:cantSplit/>
        </w:trPr>
        <w:tc>
          <w:tcPr>
            <w:tcW w:w="1097" w:type="dxa"/>
          </w:tcPr>
          <w:p w14:paraId="3B9ADD8E" w14:textId="77777777" w:rsidR="00003826" w:rsidRPr="007F1827" w:rsidRDefault="00003826" w:rsidP="00003826">
            <w:pPr>
              <w:jc w:val="left"/>
              <w:rPr>
                <w:b/>
                <w:sz w:val="17"/>
                <w:szCs w:val="17"/>
              </w:rPr>
            </w:pPr>
            <w:r w:rsidRPr="007F1827">
              <w:rPr>
                <w:b/>
                <w:sz w:val="17"/>
                <w:szCs w:val="17"/>
              </w:rPr>
              <w:t>16 March 2020</w:t>
            </w:r>
          </w:p>
        </w:tc>
        <w:tc>
          <w:tcPr>
            <w:tcW w:w="1880" w:type="dxa"/>
          </w:tcPr>
          <w:p w14:paraId="3F325525" w14:textId="77777777" w:rsidR="00003826" w:rsidRPr="00166D67" w:rsidRDefault="00A324C3" w:rsidP="00003826">
            <w:pPr>
              <w:jc w:val="left"/>
              <w:rPr>
                <w:sz w:val="17"/>
                <w:szCs w:val="17"/>
              </w:rPr>
            </w:pPr>
            <w:hyperlink r:id="rId235" w:history="1">
              <w:r w:rsidR="00003826" w:rsidRPr="00166D67">
                <w:rPr>
                  <w:rStyle w:val="Hyperlink"/>
                  <w:sz w:val="17"/>
                  <w:szCs w:val="17"/>
                </w:rPr>
                <w:t>ESMA requires net short position holders to report positions of 0.1% and above</w:t>
              </w:r>
            </w:hyperlink>
          </w:p>
        </w:tc>
        <w:tc>
          <w:tcPr>
            <w:tcW w:w="1819" w:type="dxa"/>
          </w:tcPr>
          <w:p w14:paraId="08F94E00" w14:textId="77777777" w:rsidR="00003826" w:rsidRPr="00166D67" w:rsidRDefault="00A324C3" w:rsidP="00003826">
            <w:pPr>
              <w:jc w:val="left"/>
              <w:rPr>
                <w:sz w:val="17"/>
                <w:szCs w:val="17"/>
              </w:rPr>
            </w:pPr>
            <w:hyperlink r:id="rId236" w:history="1">
              <w:r w:rsidR="00003826" w:rsidRPr="00166D67">
                <w:rPr>
                  <w:rStyle w:val="Hyperlink"/>
                  <w:sz w:val="17"/>
                  <w:szCs w:val="17"/>
                </w:rPr>
                <w:t>COVID-19: ESMA requires net short position holders to report positions of 0.1% and above</w:t>
              </w:r>
            </w:hyperlink>
          </w:p>
        </w:tc>
        <w:tc>
          <w:tcPr>
            <w:tcW w:w="2155" w:type="dxa"/>
          </w:tcPr>
          <w:p w14:paraId="5F321C82" w14:textId="30862F8F" w:rsidR="00003826" w:rsidRPr="00166D67" w:rsidRDefault="00003826" w:rsidP="00003826">
            <w:pPr>
              <w:jc w:val="left"/>
              <w:rPr>
                <w:sz w:val="17"/>
                <w:szCs w:val="17"/>
              </w:rPr>
            </w:pPr>
            <w:r w:rsidRPr="00166D67">
              <w:rPr>
                <w:sz w:val="17"/>
                <w:szCs w:val="17"/>
              </w:rPr>
              <w:t>Holders of net short positions in shares traded on an EU regulated market or MTF</w:t>
            </w:r>
          </w:p>
        </w:tc>
        <w:tc>
          <w:tcPr>
            <w:tcW w:w="5523" w:type="dxa"/>
          </w:tcPr>
          <w:p w14:paraId="207C7E25" w14:textId="7F42A083" w:rsidR="00003826" w:rsidRPr="00166D67" w:rsidRDefault="00003826" w:rsidP="00003826">
            <w:pPr>
              <w:jc w:val="left"/>
              <w:rPr>
                <w:sz w:val="17"/>
                <w:szCs w:val="17"/>
              </w:rPr>
            </w:pPr>
            <w:r w:rsidRPr="00166D67">
              <w:rPr>
                <w:sz w:val="17"/>
                <w:szCs w:val="17"/>
              </w:rPr>
              <w:t xml:space="preserve">ESMA has temporarily required </w:t>
            </w:r>
            <w:r w:rsidRPr="00166D67">
              <w:rPr>
                <w:b/>
                <w:sz w:val="17"/>
                <w:szCs w:val="17"/>
              </w:rPr>
              <w:t>holders of net short positions in shares traded on an EU regulated market or MTF to notify the relevant NCA if the position reaches or exceeds 0.1%</w:t>
            </w:r>
            <w:r w:rsidRPr="00166D67">
              <w:rPr>
                <w:sz w:val="17"/>
                <w:szCs w:val="17"/>
              </w:rPr>
              <w:t xml:space="preserve"> of the issued share capital. The measure does not apply to shares on a regulated market where the principal venue for the trading of the shares is located in a third country, market making or stabilisation activities.</w:t>
            </w:r>
          </w:p>
        </w:tc>
      </w:tr>
      <w:tr w:rsidR="00003826" w:rsidRPr="00166D67" w14:paraId="355CA835" w14:textId="77777777" w:rsidTr="001701F9">
        <w:trPr>
          <w:cantSplit/>
        </w:trPr>
        <w:tc>
          <w:tcPr>
            <w:tcW w:w="1097" w:type="dxa"/>
            <w:shd w:val="clear" w:color="auto" w:fill="FFFFFF" w:themeFill="background1"/>
          </w:tcPr>
          <w:p w14:paraId="39D4CEEB" w14:textId="77777777" w:rsidR="00003826" w:rsidRPr="007F1827" w:rsidRDefault="00003826" w:rsidP="00003826">
            <w:pPr>
              <w:jc w:val="left"/>
              <w:rPr>
                <w:b/>
                <w:sz w:val="17"/>
                <w:szCs w:val="17"/>
              </w:rPr>
            </w:pPr>
            <w:r w:rsidRPr="007F1827">
              <w:rPr>
                <w:b/>
                <w:sz w:val="17"/>
                <w:szCs w:val="17"/>
              </w:rPr>
              <w:t>17 March 2020</w:t>
            </w:r>
          </w:p>
          <w:p w14:paraId="3412D3F4" w14:textId="77777777" w:rsidR="00003826" w:rsidRPr="007F1827" w:rsidRDefault="00003826" w:rsidP="00003826">
            <w:pPr>
              <w:jc w:val="left"/>
              <w:rPr>
                <w:b/>
                <w:sz w:val="17"/>
                <w:szCs w:val="17"/>
              </w:rPr>
            </w:pPr>
            <w:r w:rsidRPr="007F1827">
              <w:rPr>
                <w:b/>
                <w:sz w:val="17"/>
                <w:szCs w:val="17"/>
              </w:rPr>
              <w:t>18 March 2020</w:t>
            </w:r>
          </w:p>
          <w:p w14:paraId="763028DF" w14:textId="77777777" w:rsidR="00003826" w:rsidRPr="007F1827" w:rsidRDefault="00003826" w:rsidP="00003826">
            <w:pPr>
              <w:jc w:val="left"/>
              <w:rPr>
                <w:b/>
                <w:sz w:val="17"/>
                <w:szCs w:val="17"/>
              </w:rPr>
            </w:pPr>
            <w:r w:rsidRPr="007F1827">
              <w:rPr>
                <w:b/>
                <w:sz w:val="17"/>
                <w:szCs w:val="17"/>
              </w:rPr>
              <w:t>19 March 2020</w:t>
            </w:r>
          </w:p>
          <w:p w14:paraId="4CD3466D" w14:textId="77777777" w:rsidR="00003826" w:rsidRPr="007F1827" w:rsidRDefault="00003826" w:rsidP="00003826">
            <w:pPr>
              <w:jc w:val="left"/>
              <w:rPr>
                <w:b/>
                <w:sz w:val="17"/>
                <w:szCs w:val="17"/>
              </w:rPr>
            </w:pPr>
            <w:r w:rsidRPr="007F1827">
              <w:rPr>
                <w:b/>
                <w:sz w:val="17"/>
                <w:szCs w:val="17"/>
              </w:rPr>
              <w:t>15 April 2020</w:t>
            </w:r>
          </w:p>
          <w:p w14:paraId="79EFC545" w14:textId="12D2B7F2" w:rsidR="00003826" w:rsidRPr="007F1827" w:rsidRDefault="00003826" w:rsidP="00003826">
            <w:pPr>
              <w:jc w:val="left"/>
              <w:rPr>
                <w:b/>
                <w:sz w:val="17"/>
                <w:szCs w:val="17"/>
              </w:rPr>
            </w:pPr>
            <w:r w:rsidRPr="007F1827">
              <w:rPr>
                <w:b/>
                <w:sz w:val="17"/>
                <w:szCs w:val="17"/>
              </w:rPr>
              <w:t>18 May 2020</w:t>
            </w:r>
          </w:p>
        </w:tc>
        <w:tc>
          <w:tcPr>
            <w:tcW w:w="1880" w:type="dxa"/>
            <w:shd w:val="clear" w:color="auto" w:fill="FFFFFF" w:themeFill="background1"/>
          </w:tcPr>
          <w:p w14:paraId="2B52489C" w14:textId="1566FA7E" w:rsidR="00003826" w:rsidRPr="00166D67" w:rsidRDefault="00003826" w:rsidP="00003826">
            <w:pPr>
              <w:jc w:val="left"/>
              <w:rPr>
                <w:rStyle w:val="Hyperlink"/>
                <w:sz w:val="17"/>
                <w:szCs w:val="17"/>
              </w:rPr>
            </w:pPr>
            <w:r w:rsidRPr="00176170">
              <w:rPr>
                <w:sz w:val="17"/>
                <w:szCs w:val="17"/>
              </w:rPr>
              <w:t>ESMA opinions approve bans</w:t>
            </w:r>
            <w:r w:rsidRPr="00166D67">
              <w:rPr>
                <w:sz w:val="17"/>
                <w:szCs w:val="17"/>
              </w:rPr>
              <w:t xml:space="preserve"> short selling bans by NCAs in </w:t>
            </w:r>
            <w:hyperlink r:id="rId237" w:history="1">
              <w:r w:rsidRPr="00166D67">
                <w:rPr>
                  <w:rStyle w:val="Hyperlink"/>
                  <w:sz w:val="17"/>
                  <w:szCs w:val="17"/>
                </w:rPr>
                <w:t>Austria,</w:t>
              </w:r>
            </w:hyperlink>
            <w:r w:rsidRPr="00166D67">
              <w:rPr>
                <w:sz w:val="17"/>
                <w:szCs w:val="17"/>
              </w:rPr>
              <w:t xml:space="preserve"> </w:t>
            </w:r>
            <w:hyperlink r:id="rId238" w:history="1">
              <w:r w:rsidRPr="00166D67">
                <w:rPr>
                  <w:rStyle w:val="Hyperlink"/>
                  <w:sz w:val="17"/>
                  <w:szCs w:val="17"/>
                </w:rPr>
                <w:t>Italy</w:t>
              </w:r>
            </w:hyperlink>
            <w:r w:rsidRPr="00166D67">
              <w:rPr>
                <w:sz w:val="17"/>
                <w:szCs w:val="17"/>
              </w:rPr>
              <w:t xml:space="preserve">, </w:t>
            </w:r>
            <w:hyperlink r:id="rId239" w:history="1">
              <w:r w:rsidRPr="00166D67">
                <w:rPr>
                  <w:rStyle w:val="Hyperlink"/>
                  <w:sz w:val="17"/>
                  <w:szCs w:val="17"/>
                </w:rPr>
                <w:t>France,</w:t>
              </w:r>
            </w:hyperlink>
            <w:r w:rsidRPr="00166D67">
              <w:rPr>
                <w:sz w:val="17"/>
                <w:szCs w:val="17"/>
              </w:rPr>
              <w:t xml:space="preserve"> </w:t>
            </w:r>
            <w:hyperlink r:id="rId240" w:history="1">
              <w:r w:rsidRPr="00166D67">
                <w:rPr>
                  <w:rStyle w:val="Hyperlink"/>
                  <w:sz w:val="17"/>
                  <w:szCs w:val="17"/>
                </w:rPr>
                <w:t>Spain,</w:t>
              </w:r>
            </w:hyperlink>
            <w:r w:rsidRPr="00166D67">
              <w:rPr>
                <w:sz w:val="17"/>
                <w:szCs w:val="17"/>
              </w:rPr>
              <w:t xml:space="preserve"> </w:t>
            </w:r>
            <w:hyperlink r:id="rId241" w:history="1">
              <w:r w:rsidRPr="00166D67">
                <w:rPr>
                  <w:rStyle w:val="Hyperlink"/>
                  <w:sz w:val="17"/>
                  <w:szCs w:val="17"/>
                </w:rPr>
                <w:t>Belgium</w:t>
              </w:r>
            </w:hyperlink>
            <w:r w:rsidRPr="00166D67">
              <w:rPr>
                <w:sz w:val="17"/>
                <w:szCs w:val="17"/>
              </w:rPr>
              <w:t xml:space="preserve"> and </w:t>
            </w:r>
            <w:hyperlink r:id="rId242" w:history="1">
              <w:r w:rsidRPr="00166D67">
                <w:rPr>
                  <w:rStyle w:val="Hyperlink"/>
                  <w:sz w:val="17"/>
                  <w:szCs w:val="17"/>
                </w:rPr>
                <w:t>Greece</w:t>
              </w:r>
            </w:hyperlink>
          </w:p>
          <w:p w14:paraId="4F9FF02E" w14:textId="77777777" w:rsidR="00003826" w:rsidRPr="00166D67" w:rsidRDefault="00003826" w:rsidP="00003826">
            <w:pPr>
              <w:jc w:val="left"/>
              <w:rPr>
                <w:rStyle w:val="Hyperlink"/>
                <w:sz w:val="17"/>
                <w:szCs w:val="17"/>
              </w:rPr>
            </w:pPr>
          </w:p>
          <w:p w14:paraId="7E6FD7A2" w14:textId="497495A5" w:rsidR="00003826" w:rsidRPr="00166D67" w:rsidRDefault="00A324C3" w:rsidP="00003826">
            <w:pPr>
              <w:jc w:val="left"/>
              <w:rPr>
                <w:b/>
                <w:sz w:val="17"/>
                <w:szCs w:val="17"/>
              </w:rPr>
            </w:pPr>
            <w:hyperlink r:id="rId243" w:history="1">
              <w:r w:rsidR="00003826" w:rsidRPr="00166D67">
                <w:rPr>
                  <w:rStyle w:val="Hyperlink"/>
                  <w:sz w:val="17"/>
                  <w:szCs w:val="17"/>
                </w:rPr>
                <w:t>Non-renewal of short selling bans announcement</w:t>
              </w:r>
            </w:hyperlink>
            <w:r w:rsidR="00003826" w:rsidRPr="00166D67">
              <w:rPr>
                <w:sz w:val="17"/>
                <w:szCs w:val="17"/>
              </w:rPr>
              <w:t xml:space="preserve"> on 18 May</w:t>
            </w:r>
          </w:p>
        </w:tc>
        <w:tc>
          <w:tcPr>
            <w:tcW w:w="1819" w:type="dxa"/>
            <w:shd w:val="clear" w:color="auto" w:fill="FFFFFF" w:themeFill="background1"/>
          </w:tcPr>
          <w:p w14:paraId="23B04D87" w14:textId="77777777" w:rsidR="00003826" w:rsidRPr="00166D67" w:rsidRDefault="00003826" w:rsidP="00003826">
            <w:pPr>
              <w:jc w:val="left"/>
              <w:rPr>
                <w:b/>
                <w:sz w:val="17"/>
                <w:szCs w:val="17"/>
              </w:rPr>
            </w:pPr>
          </w:p>
        </w:tc>
        <w:tc>
          <w:tcPr>
            <w:tcW w:w="2155" w:type="dxa"/>
            <w:shd w:val="clear" w:color="auto" w:fill="FFFFFF" w:themeFill="background1"/>
          </w:tcPr>
          <w:p w14:paraId="3D9AE845" w14:textId="69136B8B" w:rsidR="00003826" w:rsidRPr="00166D67" w:rsidRDefault="00003826" w:rsidP="00003826">
            <w:pPr>
              <w:jc w:val="left"/>
              <w:rPr>
                <w:b/>
                <w:sz w:val="17"/>
                <w:szCs w:val="17"/>
              </w:rPr>
            </w:pPr>
            <w:r w:rsidRPr="00166D67">
              <w:rPr>
                <w:sz w:val="17"/>
                <w:szCs w:val="17"/>
              </w:rPr>
              <w:t>Financial Market Participants</w:t>
            </w:r>
          </w:p>
        </w:tc>
        <w:tc>
          <w:tcPr>
            <w:tcW w:w="5523" w:type="dxa"/>
            <w:shd w:val="clear" w:color="auto" w:fill="FFFFFF" w:themeFill="background1"/>
          </w:tcPr>
          <w:p w14:paraId="7ACD69B1" w14:textId="7494558E" w:rsidR="00003826" w:rsidRPr="00166D67" w:rsidRDefault="00003826" w:rsidP="00003826">
            <w:pPr>
              <w:jc w:val="left"/>
              <w:rPr>
                <w:sz w:val="17"/>
                <w:szCs w:val="17"/>
              </w:rPr>
            </w:pPr>
            <w:r w:rsidRPr="00166D67">
              <w:rPr>
                <w:sz w:val="17"/>
                <w:szCs w:val="17"/>
              </w:rPr>
              <w:t xml:space="preserve">ESMA issued a number of </w:t>
            </w:r>
            <w:r w:rsidRPr="00166D67">
              <w:rPr>
                <w:b/>
                <w:sz w:val="17"/>
                <w:szCs w:val="17"/>
              </w:rPr>
              <w:t xml:space="preserve">official opinions approving temporary prohibitions by several NCAs of transactions which might constitute or increase net short positions </w:t>
            </w:r>
            <w:r w:rsidRPr="00166D67">
              <w:rPr>
                <w:sz w:val="17"/>
                <w:szCs w:val="17"/>
              </w:rPr>
              <w:t>on shares admitted to trading on certain prescribed trading venues. The bans covered all related instruments relevant for the calculation of net short positions. The prohibitions applied to transactions conducted on a trading venue or over the counter in Austria, Italy, France, Spain, Belgium and Greece. The prohibitions in Austria, France, Spain, Belgium and Greece expired on 18 May. The restrictions in Italy were due to expire on 18 June but were terminated early, as noted by ESMA in its announcement on 18 May.</w:t>
            </w:r>
          </w:p>
        </w:tc>
      </w:tr>
      <w:tr w:rsidR="00003826" w:rsidRPr="00166D67" w14:paraId="4D73CD57" w14:textId="77777777" w:rsidTr="001701F9">
        <w:trPr>
          <w:cantSplit/>
          <w:trHeight w:val="1778"/>
        </w:trPr>
        <w:tc>
          <w:tcPr>
            <w:tcW w:w="1097" w:type="dxa"/>
            <w:vMerge w:val="restart"/>
          </w:tcPr>
          <w:p w14:paraId="16D44E7D" w14:textId="77DC2A86" w:rsidR="00003826" w:rsidRPr="007F1827" w:rsidRDefault="00003826" w:rsidP="00003826">
            <w:pPr>
              <w:jc w:val="left"/>
              <w:rPr>
                <w:b/>
                <w:sz w:val="17"/>
                <w:szCs w:val="17"/>
              </w:rPr>
            </w:pPr>
            <w:r w:rsidRPr="007F1827">
              <w:rPr>
                <w:b/>
                <w:sz w:val="17"/>
                <w:szCs w:val="17"/>
              </w:rPr>
              <w:t>26 March 2020</w:t>
            </w:r>
          </w:p>
          <w:p w14:paraId="69D3D106" w14:textId="77777777" w:rsidR="00003826" w:rsidRPr="007F1827" w:rsidRDefault="00003826" w:rsidP="00003826">
            <w:pPr>
              <w:jc w:val="left"/>
              <w:rPr>
                <w:b/>
                <w:sz w:val="17"/>
                <w:szCs w:val="17"/>
              </w:rPr>
            </w:pPr>
            <w:r w:rsidRPr="007F1827">
              <w:rPr>
                <w:b/>
                <w:sz w:val="17"/>
                <w:szCs w:val="17"/>
              </w:rPr>
              <w:t>27 March 2020</w:t>
            </w:r>
          </w:p>
        </w:tc>
        <w:tc>
          <w:tcPr>
            <w:tcW w:w="1880" w:type="dxa"/>
            <w:vMerge w:val="restart"/>
          </w:tcPr>
          <w:p w14:paraId="7F8B602E" w14:textId="77777777" w:rsidR="00003826" w:rsidRPr="00166D67" w:rsidRDefault="00003826" w:rsidP="00003826">
            <w:pPr>
              <w:jc w:val="left"/>
              <w:rPr>
                <w:sz w:val="17"/>
                <w:szCs w:val="17"/>
              </w:rPr>
            </w:pPr>
            <w:r w:rsidRPr="00166D67">
              <w:rPr>
                <w:sz w:val="17"/>
                <w:szCs w:val="17"/>
              </w:rPr>
              <w:t xml:space="preserve">ESMA calls for flexible approach to reporting obligations under </w:t>
            </w:r>
            <w:hyperlink r:id="rId244" w:history="1">
              <w:r w:rsidRPr="00166D67">
                <w:rPr>
                  <w:rStyle w:val="Hyperlink"/>
                  <w:sz w:val="17"/>
                  <w:szCs w:val="17"/>
                </w:rPr>
                <w:t>Securities Finance Transactions Regulation</w:t>
              </w:r>
            </w:hyperlink>
            <w:r w:rsidRPr="00166D67">
              <w:rPr>
                <w:rStyle w:val="Hyperlink"/>
                <w:sz w:val="17"/>
                <w:szCs w:val="17"/>
              </w:rPr>
              <w:t xml:space="preserve"> (STFR)</w:t>
            </w:r>
            <w:r w:rsidRPr="00166D67">
              <w:rPr>
                <w:sz w:val="17"/>
                <w:szCs w:val="17"/>
              </w:rPr>
              <w:t xml:space="preserve"> and </w:t>
            </w:r>
            <w:hyperlink r:id="rId245" w:history="1">
              <w:r w:rsidRPr="00166D67">
                <w:rPr>
                  <w:rStyle w:val="Hyperlink"/>
                  <w:sz w:val="17"/>
                  <w:szCs w:val="17"/>
                </w:rPr>
                <w:t>Transparency Directive</w:t>
              </w:r>
            </w:hyperlink>
            <w:r w:rsidRPr="00166D67">
              <w:rPr>
                <w:sz w:val="17"/>
                <w:szCs w:val="17"/>
              </w:rPr>
              <w:t>.</w:t>
            </w:r>
          </w:p>
          <w:p w14:paraId="0C7C7A31" w14:textId="77777777" w:rsidR="00003826" w:rsidRPr="00166D67" w:rsidRDefault="00003826" w:rsidP="00003826">
            <w:pPr>
              <w:jc w:val="left"/>
              <w:rPr>
                <w:sz w:val="17"/>
                <w:szCs w:val="17"/>
              </w:rPr>
            </w:pPr>
          </w:p>
          <w:p w14:paraId="7E06B52F" w14:textId="11DE7FBF" w:rsidR="00003826" w:rsidRPr="00166D67" w:rsidRDefault="00003826" w:rsidP="00003826">
            <w:pPr>
              <w:jc w:val="left"/>
              <w:rPr>
                <w:sz w:val="17"/>
                <w:szCs w:val="17"/>
              </w:rPr>
            </w:pPr>
          </w:p>
        </w:tc>
        <w:tc>
          <w:tcPr>
            <w:tcW w:w="1819" w:type="dxa"/>
            <w:vMerge w:val="restart"/>
          </w:tcPr>
          <w:p w14:paraId="6261BC64" w14:textId="77777777" w:rsidR="00003826" w:rsidRPr="00166D67" w:rsidRDefault="00003826" w:rsidP="00003826">
            <w:pPr>
              <w:jc w:val="left"/>
              <w:rPr>
                <w:sz w:val="17"/>
                <w:szCs w:val="17"/>
              </w:rPr>
            </w:pPr>
          </w:p>
        </w:tc>
        <w:tc>
          <w:tcPr>
            <w:tcW w:w="2155" w:type="dxa"/>
          </w:tcPr>
          <w:p w14:paraId="5A852CF5" w14:textId="77F1DF93" w:rsidR="00003826" w:rsidRPr="00166D67" w:rsidRDefault="00003826" w:rsidP="00003826">
            <w:pPr>
              <w:jc w:val="left"/>
              <w:rPr>
                <w:sz w:val="17"/>
                <w:szCs w:val="17"/>
              </w:rPr>
            </w:pPr>
            <w:r w:rsidRPr="00166D67">
              <w:rPr>
                <w:sz w:val="17"/>
                <w:szCs w:val="17"/>
              </w:rPr>
              <w:t>All counterparties to SFTs with reporting obligations under the SFTR</w:t>
            </w:r>
          </w:p>
        </w:tc>
        <w:tc>
          <w:tcPr>
            <w:tcW w:w="5523" w:type="dxa"/>
            <w:vMerge w:val="restart"/>
          </w:tcPr>
          <w:p w14:paraId="421A8AAC" w14:textId="77777777" w:rsidR="00003826" w:rsidRPr="00166D67" w:rsidRDefault="00003826" w:rsidP="00003826">
            <w:pPr>
              <w:jc w:val="left"/>
              <w:rPr>
                <w:sz w:val="17"/>
                <w:szCs w:val="17"/>
              </w:rPr>
            </w:pPr>
            <w:r w:rsidRPr="00166D67">
              <w:rPr>
                <w:sz w:val="17"/>
                <w:szCs w:val="17"/>
              </w:rPr>
              <w:t>ESMA has acknowledged the difficulties created by the COVID-19 pandemic in complying with financial reporting obligations.</w:t>
            </w:r>
          </w:p>
          <w:p w14:paraId="19C5B3D8" w14:textId="30FC1DF5" w:rsidR="00003826" w:rsidRPr="00166D67" w:rsidRDefault="00003826" w:rsidP="00003826">
            <w:pPr>
              <w:jc w:val="left"/>
              <w:rPr>
                <w:sz w:val="17"/>
                <w:szCs w:val="17"/>
              </w:rPr>
            </w:pPr>
            <w:r w:rsidRPr="00166D67">
              <w:rPr>
                <w:sz w:val="17"/>
                <w:szCs w:val="17"/>
              </w:rPr>
              <w:t xml:space="preserve">NCAs are expected not to prioritise supervisory actions against counterparties, entities responsible for reporting and investment firms in respect of securities financing transactions concluded </w:t>
            </w:r>
            <w:r w:rsidRPr="00166D67">
              <w:rPr>
                <w:b/>
                <w:sz w:val="17"/>
                <w:szCs w:val="17"/>
              </w:rPr>
              <w:t>between 13 April 2020 and 13 July 2020</w:t>
            </w:r>
            <w:r w:rsidRPr="00166D67">
              <w:rPr>
                <w:sz w:val="17"/>
                <w:szCs w:val="17"/>
              </w:rPr>
              <w:t xml:space="preserve">. Additionally, ESMA does not consider it necessary to register any trade repositories </w:t>
            </w:r>
            <w:r w:rsidRPr="00166D67">
              <w:rPr>
                <w:b/>
                <w:sz w:val="17"/>
                <w:szCs w:val="17"/>
              </w:rPr>
              <w:t>before 13 April 2020</w:t>
            </w:r>
            <w:r w:rsidRPr="00166D67">
              <w:rPr>
                <w:sz w:val="17"/>
                <w:szCs w:val="17"/>
              </w:rPr>
              <w:t xml:space="preserve">. </w:t>
            </w:r>
          </w:p>
          <w:p w14:paraId="25D69BA4" w14:textId="77777777" w:rsidR="00003826" w:rsidRPr="00166D67" w:rsidRDefault="00003826" w:rsidP="00003826">
            <w:pPr>
              <w:jc w:val="left"/>
              <w:rPr>
                <w:rFonts w:asciiTheme="majorHAnsi" w:hAnsiTheme="majorHAnsi" w:cstheme="majorHAnsi"/>
                <w:sz w:val="17"/>
                <w:szCs w:val="17"/>
              </w:rPr>
            </w:pPr>
            <w:r w:rsidRPr="00166D67">
              <w:rPr>
                <w:sz w:val="17"/>
                <w:szCs w:val="17"/>
              </w:rPr>
              <w:t xml:space="preserve">ESMA also expects that NCAs will not prioritise supervisory actions against </w:t>
            </w:r>
            <w:r w:rsidRPr="00166D67">
              <w:rPr>
                <w:rFonts w:asciiTheme="majorHAnsi" w:hAnsiTheme="majorHAnsi" w:cstheme="majorHAnsi"/>
                <w:sz w:val="17"/>
                <w:szCs w:val="17"/>
              </w:rPr>
              <w:t xml:space="preserve">issuers of securities traded on regulated markets in respect of </w:t>
            </w:r>
            <w:r w:rsidRPr="00166D67">
              <w:rPr>
                <w:rFonts w:asciiTheme="majorHAnsi" w:hAnsiTheme="majorHAnsi" w:cstheme="majorHAnsi"/>
                <w:b/>
                <w:sz w:val="17"/>
                <w:szCs w:val="17"/>
              </w:rPr>
              <w:t>deadlines for publishing yearly and half-yearly financial reports under the Transparency Directive</w:t>
            </w:r>
            <w:r w:rsidRPr="00166D67">
              <w:rPr>
                <w:rFonts w:asciiTheme="majorHAnsi" w:hAnsiTheme="majorHAnsi" w:cstheme="majorHAnsi"/>
                <w:sz w:val="17"/>
                <w:szCs w:val="17"/>
              </w:rPr>
              <w:t xml:space="preserve">. However, financial reporting must continue and issuers are reminded of their obligation under the Market Abuse Regulation to </w:t>
            </w:r>
            <w:r w:rsidRPr="00166D67">
              <w:rPr>
                <w:rFonts w:asciiTheme="majorHAnsi" w:hAnsiTheme="majorHAnsi" w:cstheme="majorHAnsi"/>
                <w:b/>
                <w:sz w:val="17"/>
                <w:szCs w:val="17"/>
              </w:rPr>
              <w:t>publically disclose any inside information that directly concerns them</w:t>
            </w:r>
            <w:r w:rsidRPr="00166D67">
              <w:rPr>
                <w:rFonts w:asciiTheme="majorHAnsi" w:hAnsiTheme="majorHAnsi" w:cstheme="majorHAnsi"/>
                <w:sz w:val="17"/>
                <w:szCs w:val="17"/>
              </w:rPr>
              <w:t>.</w:t>
            </w:r>
          </w:p>
          <w:p w14:paraId="351DA5F1" w14:textId="77777777" w:rsidR="00003826" w:rsidRPr="00166D67" w:rsidRDefault="00003826" w:rsidP="00003826">
            <w:pPr>
              <w:jc w:val="left"/>
              <w:rPr>
                <w:sz w:val="17"/>
                <w:szCs w:val="17"/>
              </w:rPr>
            </w:pPr>
            <w:r w:rsidRPr="00166D67">
              <w:rPr>
                <w:rFonts w:asciiTheme="majorHAnsi" w:hAnsiTheme="majorHAnsi" w:cstheme="majorHAnsi"/>
                <w:sz w:val="17"/>
                <w:szCs w:val="17"/>
              </w:rPr>
              <w:t xml:space="preserve">ESMA has asked NCAs to generally follow a </w:t>
            </w:r>
            <w:r w:rsidRPr="00166D67">
              <w:rPr>
                <w:rFonts w:asciiTheme="majorHAnsi" w:hAnsiTheme="majorHAnsi" w:cstheme="majorHAnsi"/>
                <w:b/>
                <w:sz w:val="17"/>
                <w:szCs w:val="17"/>
              </w:rPr>
              <w:t>risk-based approach</w:t>
            </w:r>
            <w:r w:rsidRPr="00166D67">
              <w:rPr>
                <w:rFonts w:asciiTheme="majorHAnsi" w:hAnsiTheme="majorHAnsi" w:cstheme="majorHAnsi"/>
                <w:sz w:val="17"/>
                <w:szCs w:val="17"/>
              </w:rPr>
              <w:t xml:space="preserve"> in their day-to-day enforcement of legislation relevant to the above obligations under the Securities Finance Transactions Regulation and the Transparency Directive.</w:t>
            </w:r>
          </w:p>
        </w:tc>
      </w:tr>
      <w:tr w:rsidR="00003826" w:rsidRPr="00166D67" w14:paraId="44ACC1FE" w14:textId="77777777" w:rsidTr="001701F9">
        <w:trPr>
          <w:cantSplit/>
          <w:trHeight w:val="1777"/>
        </w:trPr>
        <w:tc>
          <w:tcPr>
            <w:tcW w:w="1097" w:type="dxa"/>
            <w:vMerge/>
          </w:tcPr>
          <w:p w14:paraId="6E9964AF" w14:textId="77777777" w:rsidR="00003826" w:rsidRPr="007F1827" w:rsidRDefault="00003826" w:rsidP="00003826">
            <w:pPr>
              <w:jc w:val="left"/>
              <w:rPr>
                <w:b/>
                <w:sz w:val="17"/>
                <w:szCs w:val="17"/>
              </w:rPr>
            </w:pPr>
          </w:p>
        </w:tc>
        <w:tc>
          <w:tcPr>
            <w:tcW w:w="1880" w:type="dxa"/>
            <w:vMerge/>
          </w:tcPr>
          <w:p w14:paraId="0DB884DD" w14:textId="77777777" w:rsidR="00003826" w:rsidRPr="00166D67" w:rsidRDefault="00003826" w:rsidP="00003826">
            <w:pPr>
              <w:jc w:val="left"/>
              <w:rPr>
                <w:sz w:val="17"/>
                <w:szCs w:val="17"/>
              </w:rPr>
            </w:pPr>
          </w:p>
        </w:tc>
        <w:tc>
          <w:tcPr>
            <w:tcW w:w="1819" w:type="dxa"/>
            <w:vMerge/>
          </w:tcPr>
          <w:p w14:paraId="7ACDCC5A" w14:textId="77777777" w:rsidR="00003826" w:rsidRPr="00166D67" w:rsidRDefault="00003826" w:rsidP="00003826">
            <w:pPr>
              <w:jc w:val="left"/>
              <w:rPr>
                <w:sz w:val="17"/>
                <w:szCs w:val="17"/>
              </w:rPr>
            </w:pPr>
          </w:p>
        </w:tc>
        <w:tc>
          <w:tcPr>
            <w:tcW w:w="2155" w:type="dxa"/>
          </w:tcPr>
          <w:p w14:paraId="44259022" w14:textId="77777777" w:rsidR="00003826" w:rsidRPr="00166D67" w:rsidRDefault="00003826" w:rsidP="00003826">
            <w:pPr>
              <w:jc w:val="left"/>
              <w:rPr>
                <w:sz w:val="17"/>
                <w:szCs w:val="17"/>
              </w:rPr>
            </w:pPr>
            <w:r w:rsidRPr="00166D67">
              <w:rPr>
                <w:sz w:val="17"/>
                <w:szCs w:val="17"/>
              </w:rPr>
              <w:t>Issuers of securities admitted to trading on a regulated market</w:t>
            </w:r>
          </w:p>
        </w:tc>
        <w:tc>
          <w:tcPr>
            <w:tcW w:w="5523" w:type="dxa"/>
            <w:vMerge/>
          </w:tcPr>
          <w:p w14:paraId="70173081" w14:textId="77777777" w:rsidR="00003826" w:rsidRPr="00166D67" w:rsidRDefault="00003826" w:rsidP="00003826">
            <w:pPr>
              <w:jc w:val="left"/>
              <w:rPr>
                <w:sz w:val="17"/>
                <w:szCs w:val="17"/>
              </w:rPr>
            </w:pPr>
          </w:p>
        </w:tc>
      </w:tr>
      <w:tr w:rsidR="00003826" w:rsidRPr="00166D67" w14:paraId="0C914ED6" w14:textId="77777777" w:rsidTr="001701F9">
        <w:trPr>
          <w:cantSplit/>
        </w:trPr>
        <w:tc>
          <w:tcPr>
            <w:tcW w:w="1097" w:type="dxa"/>
          </w:tcPr>
          <w:p w14:paraId="329B144D" w14:textId="77777777" w:rsidR="00003826" w:rsidRPr="007F1827" w:rsidRDefault="00003826" w:rsidP="00003826">
            <w:pPr>
              <w:jc w:val="left"/>
              <w:rPr>
                <w:b/>
                <w:sz w:val="17"/>
                <w:szCs w:val="17"/>
              </w:rPr>
            </w:pPr>
            <w:r w:rsidRPr="007F1827">
              <w:rPr>
                <w:b/>
                <w:sz w:val="17"/>
                <w:szCs w:val="17"/>
              </w:rPr>
              <w:t>20 March 2020</w:t>
            </w:r>
          </w:p>
        </w:tc>
        <w:tc>
          <w:tcPr>
            <w:tcW w:w="1880" w:type="dxa"/>
          </w:tcPr>
          <w:p w14:paraId="02669E73" w14:textId="77777777" w:rsidR="00003826" w:rsidRPr="00166D67" w:rsidRDefault="00A324C3" w:rsidP="00003826">
            <w:pPr>
              <w:jc w:val="left"/>
              <w:rPr>
                <w:sz w:val="17"/>
                <w:szCs w:val="17"/>
              </w:rPr>
            </w:pPr>
            <w:hyperlink r:id="rId246" w:history="1">
              <w:r w:rsidR="00003826" w:rsidRPr="00166D67">
                <w:rPr>
                  <w:rStyle w:val="Hyperlink"/>
                  <w:sz w:val="17"/>
                  <w:szCs w:val="17"/>
                </w:rPr>
                <w:t xml:space="preserve">ESMA sets out approach on </w:t>
              </w:r>
              <w:proofErr w:type="spellStart"/>
              <w:r w:rsidR="00003826" w:rsidRPr="00166D67">
                <w:rPr>
                  <w:rStyle w:val="Hyperlink"/>
                  <w:sz w:val="17"/>
                  <w:szCs w:val="17"/>
                </w:rPr>
                <w:t>MIiFIR</w:t>
              </w:r>
              <w:proofErr w:type="spellEnd"/>
              <w:r w:rsidR="00003826" w:rsidRPr="00166D67">
                <w:rPr>
                  <w:rStyle w:val="Hyperlink"/>
                  <w:sz w:val="17"/>
                  <w:szCs w:val="17"/>
                </w:rPr>
                <w:t xml:space="preserve"> tick-size regime for systematic </w:t>
              </w:r>
              <w:proofErr w:type="spellStart"/>
              <w:r w:rsidR="00003826" w:rsidRPr="00166D67">
                <w:rPr>
                  <w:rStyle w:val="Hyperlink"/>
                  <w:sz w:val="17"/>
                  <w:szCs w:val="17"/>
                </w:rPr>
                <w:t>internalisers</w:t>
              </w:r>
              <w:proofErr w:type="spellEnd"/>
            </w:hyperlink>
          </w:p>
        </w:tc>
        <w:tc>
          <w:tcPr>
            <w:tcW w:w="1819" w:type="dxa"/>
          </w:tcPr>
          <w:p w14:paraId="35D95867" w14:textId="77777777" w:rsidR="00003826" w:rsidRPr="00166D67" w:rsidRDefault="00003826" w:rsidP="00003826">
            <w:pPr>
              <w:jc w:val="left"/>
              <w:rPr>
                <w:sz w:val="17"/>
                <w:szCs w:val="17"/>
              </w:rPr>
            </w:pPr>
          </w:p>
        </w:tc>
        <w:tc>
          <w:tcPr>
            <w:tcW w:w="2155" w:type="dxa"/>
          </w:tcPr>
          <w:p w14:paraId="6E212ADA" w14:textId="77777777" w:rsidR="00003826" w:rsidRPr="00166D67" w:rsidRDefault="00003826" w:rsidP="00003826">
            <w:pPr>
              <w:jc w:val="left"/>
              <w:rPr>
                <w:sz w:val="17"/>
                <w:szCs w:val="17"/>
              </w:rPr>
            </w:pPr>
            <w:r w:rsidRPr="00166D67">
              <w:rPr>
                <w:sz w:val="17"/>
                <w:szCs w:val="17"/>
              </w:rPr>
              <w:t xml:space="preserve">Systematic </w:t>
            </w:r>
            <w:proofErr w:type="spellStart"/>
            <w:r w:rsidRPr="00166D67">
              <w:rPr>
                <w:sz w:val="17"/>
                <w:szCs w:val="17"/>
              </w:rPr>
              <w:t>Internalisers</w:t>
            </w:r>
            <w:proofErr w:type="spellEnd"/>
          </w:p>
        </w:tc>
        <w:tc>
          <w:tcPr>
            <w:tcW w:w="5523" w:type="dxa"/>
          </w:tcPr>
          <w:p w14:paraId="0975F053" w14:textId="77777777" w:rsidR="00003826" w:rsidRPr="00166D67" w:rsidRDefault="00003826" w:rsidP="00003826">
            <w:pPr>
              <w:jc w:val="left"/>
              <w:rPr>
                <w:sz w:val="17"/>
                <w:szCs w:val="17"/>
              </w:rPr>
            </w:pPr>
            <w:r w:rsidRPr="00166D67">
              <w:rPr>
                <w:sz w:val="17"/>
                <w:szCs w:val="17"/>
              </w:rPr>
              <w:t xml:space="preserve">ESMA has acknowledged the difficulties that systematic </w:t>
            </w:r>
            <w:proofErr w:type="spellStart"/>
            <w:r w:rsidRPr="00166D67">
              <w:rPr>
                <w:sz w:val="17"/>
                <w:szCs w:val="17"/>
              </w:rPr>
              <w:t>internalisers</w:t>
            </w:r>
            <w:proofErr w:type="spellEnd"/>
            <w:r w:rsidRPr="00166D67">
              <w:rPr>
                <w:sz w:val="17"/>
                <w:szCs w:val="17"/>
              </w:rPr>
              <w:t xml:space="preserve"> will likely encounter in complying with the tick sizes set under </w:t>
            </w:r>
            <w:proofErr w:type="spellStart"/>
            <w:r w:rsidRPr="00166D67">
              <w:rPr>
                <w:sz w:val="17"/>
                <w:szCs w:val="17"/>
              </w:rPr>
              <w:t>MiFIR</w:t>
            </w:r>
            <w:proofErr w:type="spellEnd"/>
            <w:r w:rsidRPr="00166D67">
              <w:rPr>
                <w:sz w:val="17"/>
                <w:szCs w:val="17"/>
              </w:rPr>
              <w:t xml:space="preserve"> by 26 March 2020, the date of application of the new tick size regime. ESMA expects NCAs </w:t>
            </w:r>
            <w:r w:rsidRPr="00166D67">
              <w:rPr>
                <w:b/>
                <w:sz w:val="17"/>
                <w:szCs w:val="17"/>
              </w:rPr>
              <w:t>not to prioritise supervisory actions related to the tick size regime</w:t>
            </w:r>
            <w:r w:rsidRPr="00166D67">
              <w:rPr>
                <w:sz w:val="17"/>
                <w:szCs w:val="17"/>
              </w:rPr>
              <w:t xml:space="preserve"> </w:t>
            </w:r>
            <w:r w:rsidRPr="00166D67">
              <w:rPr>
                <w:b/>
                <w:sz w:val="17"/>
                <w:szCs w:val="17"/>
              </w:rPr>
              <w:t>until 26 June 2020</w:t>
            </w:r>
            <w:r w:rsidRPr="00166D67">
              <w:rPr>
                <w:sz w:val="17"/>
                <w:szCs w:val="17"/>
              </w:rPr>
              <w:t xml:space="preserve">. </w:t>
            </w:r>
          </w:p>
        </w:tc>
      </w:tr>
      <w:tr w:rsidR="00003826" w:rsidRPr="00166D67" w14:paraId="6EBFC19D" w14:textId="77777777" w:rsidTr="001701F9">
        <w:trPr>
          <w:cantSplit/>
        </w:trPr>
        <w:tc>
          <w:tcPr>
            <w:tcW w:w="1097" w:type="dxa"/>
          </w:tcPr>
          <w:p w14:paraId="3D8A2170" w14:textId="77777777" w:rsidR="00003826" w:rsidRPr="007F1827" w:rsidRDefault="00003826" w:rsidP="00003826">
            <w:pPr>
              <w:jc w:val="left"/>
              <w:rPr>
                <w:b/>
                <w:sz w:val="17"/>
                <w:szCs w:val="17"/>
              </w:rPr>
            </w:pPr>
            <w:r w:rsidRPr="007F1827">
              <w:rPr>
                <w:b/>
                <w:sz w:val="17"/>
                <w:szCs w:val="17"/>
              </w:rPr>
              <w:t>20 March 2020</w:t>
            </w:r>
          </w:p>
        </w:tc>
        <w:tc>
          <w:tcPr>
            <w:tcW w:w="1880" w:type="dxa"/>
          </w:tcPr>
          <w:p w14:paraId="77319A47" w14:textId="77777777" w:rsidR="00003826" w:rsidRPr="00166D67" w:rsidRDefault="00A324C3" w:rsidP="00003826">
            <w:pPr>
              <w:jc w:val="left"/>
              <w:rPr>
                <w:sz w:val="17"/>
                <w:szCs w:val="17"/>
              </w:rPr>
            </w:pPr>
            <w:hyperlink r:id="rId247" w:history="1">
              <w:r w:rsidR="00003826" w:rsidRPr="00166D67">
                <w:rPr>
                  <w:rStyle w:val="Hyperlink"/>
                  <w:sz w:val="17"/>
                  <w:szCs w:val="17"/>
                </w:rPr>
                <w:t>ESMA clarifies position on call taping under MiFID II</w:t>
              </w:r>
            </w:hyperlink>
          </w:p>
        </w:tc>
        <w:tc>
          <w:tcPr>
            <w:tcW w:w="1819" w:type="dxa"/>
          </w:tcPr>
          <w:p w14:paraId="44F898C5" w14:textId="77777777" w:rsidR="00003826" w:rsidRPr="00166D67" w:rsidRDefault="00A324C3" w:rsidP="00003826">
            <w:pPr>
              <w:jc w:val="left"/>
              <w:rPr>
                <w:sz w:val="17"/>
                <w:szCs w:val="17"/>
              </w:rPr>
            </w:pPr>
            <w:hyperlink r:id="rId248" w:history="1">
              <w:r w:rsidR="00003826" w:rsidRPr="00166D67">
                <w:rPr>
                  <w:rStyle w:val="Hyperlink"/>
                  <w:sz w:val="17"/>
                  <w:szCs w:val="17"/>
                </w:rPr>
                <w:t>ESMA announcement on MiFID II requirements for telephone recordings</w:t>
              </w:r>
            </w:hyperlink>
          </w:p>
        </w:tc>
        <w:tc>
          <w:tcPr>
            <w:tcW w:w="2155" w:type="dxa"/>
          </w:tcPr>
          <w:p w14:paraId="6EA01372" w14:textId="77777777" w:rsidR="00003826" w:rsidRPr="00166D67" w:rsidRDefault="00003826" w:rsidP="00003826">
            <w:pPr>
              <w:jc w:val="left"/>
              <w:rPr>
                <w:sz w:val="17"/>
                <w:szCs w:val="17"/>
              </w:rPr>
            </w:pPr>
            <w:r w:rsidRPr="00166D67">
              <w:rPr>
                <w:sz w:val="17"/>
                <w:szCs w:val="17"/>
              </w:rPr>
              <w:t>Credit Institutions</w:t>
            </w:r>
          </w:p>
          <w:p w14:paraId="1F7952AB" w14:textId="77777777" w:rsidR="00003826" w:rsidRPr="00166D67" w:rsidRDefault="00003826" w:rsidP="00003826">
            <w:pPr>
              <w:jc w:val="left"/>
              <w:rPr>
                <w:sz w:val="17"/>
                <w:szCs w:val="17"/>
              </w:rPr>
            </w:pPr>
          </w:p>
          <w:p w14:paraId="582DE30B" w14:textId="0E16E5C4" w:rsidR="00003826" w:rsidRPr="00166D67" w:rsidRDefault="00003826" w:rsidP="00003826">
            <w:pPr>
              <w:jc w:val="left"/>
              <w:rPr>
                <w:sz w:val="17"/>
                <w:szCs w:val="17"/>
              </w:rPr>
            </w:pPr>
            <w:r w:rsidRPr="00166D67">
              <w:rPr>
                <w:sz w:val="17"/>
                <w:szCs w:val="17"/>
              </w:rPr>
              <w:t>Investment Firms</w:t>
            </w:r>
          </w:p>
        </w:tc>
        <w:tc>
          <w:tcPr>
            <w:tcW w:w="5523" w:type="dxa"/>
          </w:tcPr>
          <w:p w14:paraId="736BF915" w14:textId="77777777" w:rsidR="00003826" w:rsidRPr="00166D67" w:rsidRDefault="00003826" w:rsidP="00003826">
            <w:pPr>
              <w:jc w:val="left"/>
              <w:rPr>
                <w:sz w:val="17"/>
                <w:szCs w:val="17"/>
              </w:rPr>
            </w:pPr>
            <w:r w:rsidRPr="00166D67">
              <w:rPr>
                <w:sz w:val="17"/>
                <w:szCs w:val="17"/>
              </w:rPr>
              <w:t xml:space="preserve">ESMA has noted that the COVID-19 pandemic is likely to present difficulties for credit institutions and investment firms in complying with the obligation under MiFID II to </w:t>
            </w:r>
            <w:r w:rsidRPr="00166D67">
              <w:rPr>
                <w:b/>
                <w:sz w:val="17"/>
                <w:szCs w:val="17"/>
              </w:rPr>
              <w:t>record telephone conversations</w:t>
            </w:r>
            <w:r w:rsidRPr="00166D67">
              <w:rPr>
                <w:sz w:val="17"/>
                <w:szCs w:val="17"/>
              </w:rPr>
              <w:t xml:space="preserve"> related to certain transactions and services.</w:t>
            </w:r>
          </w:p>
          <w:p w14:paraId="103F7D8A" w14:textId="77777777" w:rsidR="00003826" w:rsidRPr="00166D67" w:rsidRDefault="00003826" w:rsidP="00003826">
            <w:pPr>
              <w:jc w:val="left"/>
              <w:rPr>
                <w:sz w:val="17"/>
                <w:szCs w:val="17"/>
              </w:rPr>
            </w:pPr>
            <w:r w:rsidRPr="00166D67">
              <w:rPr>
                <w:sz w:val="17"/>
                <w:szCs w:val="17"/>
              </w:rPr>
              <w:t xml:space="preserve">ESMA expects such institutions and firms to </w:t>
            </w:r>
            <w:r w:rsidRPr="00166D67">
              <w:rPr>
                <w:b/>
                <w:sz w:val="17"/>
                <w:szCs w:val="17"/>
              </w:rPr>
              <w:t>consider alternative measures that would mitigate the risks of failing to record these conversations</w:t>
            </w:r>
            <w:r w:rsidRPr="00166D67">
              <w:rPr>
                <w:sz w:val="17"/>
                <w:szCs w:val="17"/>
              </w:rPr>
              <w:t xml:space="preserve">. They are expected to deploy all possible efforts to </w:t>
            </w:r>
            <w:r w:rsidRPr="00166D67">
              <w:rPr>
                <w:b/>
                <w:sz w:val="17"/>
                <w:szCs w:val="17"/>
              </w:rPr>
              <w:t>keep these measures temporary and to restore the recording of telephone conversations</w:t>
            </w:r>
            <w:r w:rsidRPr="00166D67">
              <w:rPr>
                <w:sz w:val="17"/>
                <w:szCs w:val="17"/>
              </w:rPr>
              <w:t xml:space="preserve"> as soon as possible.</w:t>
            </w:r>
          </w:p>
        </w:tc>
      </w:tr>
      <w:tr w:rsidR="00003826" w:rsidRPr="00166D67" w14:paraId="07955110" w14:textId="77777777" w:rsidTr="001701F9">
        <w:trPr>
          <w:cantSplit/>
        </w:trPr>
        <w:tc>
          <w:tcPr>
            <w:tcW w:w="1097" w:type="dxa"/>
            <w:shd w:val="clear" w:color="auto" w:fill="auto"/>
          </w:tcPr>
          <w:p w14:paraId="76112438" w14:textId="0E2BE131" w:rsidR="00003826" w:rsidRPr="007F1827" w:rsidRDefault="00003826" w:rsidP="00003826">
            <w:pPr>
              <w:jc w:val="left"/>
              <w:rPr>
                <w:b/>
                <w:sz w:val="17"/>
                <w:szCs w:val="17"/>
              </w:rPr>
            </w:pPr>
            <w:r w:rsidRPr="007F1827">
              <w:rPr>
                <w:b/>
                <w:sz w:val="17"/>
                <w:szCs w:val="17"/>
              </w:rPr>
              <w:t>20 March 2020</w:t>
            </w:r>
          </w:p>
        </w:tc>
        <w:tc>
          <w:tcPr>
            <w:tcW w:w="1880" w:type="dxa"/>
            <w:shd w:val="clear" w:color="auto" w:fill="auto"/>
          </w:tcPr>
          <w:p w14:paraId="0AA7781A" w14:textId="5405C8E8" w:rsidR="00003826" w:rsidRPr="00166D67" w:rsidRDefault="00A324C3" w:rsidP="00003826">
            <w:pPr>
              <w:jc w:val="left"/>
              <w:rPr>
                <w:sz w:val="17"/>
                <w:szCs w:val="17"/>
              </w:rPr>
            </w:pPr>
            <w:hyperlink r:id="rId249" w:history="1">
              <w:r w:rsidR="00003826" w:rsidRPr="00166D67">
                <w:rPr>
                  <w:rStyle w:val="Hyperlink"/>
                  <w:sz w:val="17"/>
                  <w:szCs w:val="17"/>
                </w:rPr>
                <w:t>ESMA extends consultations response dates</w:t>
              </w:r>
            </w:hyperlink>
          </w:p>
        </w:tc>
        <w:tc>
          <w:tcPr>
            <w:tcW w:w="1819" w:type="dxa"/>
            <w:shd w:val="clear" w:color="auto" w:fill="auto"/>
          </w:tcPr>
          <w:p w14:paraId="55B72562" w14:textId="77777777" w:rsidR="00003826" w:rsidRPr="00166D67" w:rsidRDefault="00003826" w:rsidP="00003826">
            <w:pPr>
              <w:jc w:val="left"/>
              <w:rPr>
                <w:sz w:val="17"/>
                <w:szCs w:val="17"/>
              </w:rPr>
            </w:pPr>
          </w:p>
        </w:tc>
        <w:tc>
          <w:tcPr>
            <w:tcW w:w="2155" w:type="dxa"/>
            <w:shd w:val="clear" w:color="auto" w:fill="auto"/>
          </w:tcPr>
          <w:p w14:paraId="6E21F352" w14:textId="4A7ED415" w:rsidR="00003826" w:rsidRPr="00166D67" w:rsidRDefault="00003826" w:rsidP="00003826">
            <w:pPr>
              <w:jc w:val="left"/>
              <w:rPr>
                <w:sz w:val="17"/>
                <w:szCs w:val="17"/>
              </w:rPr>
            </w:pPr>
            <w:r w:rsidRPr="00166D67">
              <w:rPr>
                <w:sz w:val="17"/>
                <w:szCs w:val="17"/>
              </w:rPr>
              <w:t>Financial Market Participants</w:t>
            </w:r>
          </w:p>
        </w:tc>
        <w:tc>
          <w:tcPr>
            <w:tcW w:w="5523" w:type="dxa"/>
            <w:shd w:val="clear" w:color="auto" w:fill="auto"/>
          </w:tcPr>
          <w:p w14:paraId="27807F03" w14:textId="28472B01" w:rsidR="00003826" w:rsidRPr="00166D67" w:rsidRDefault="00003826" w:rsidP="00003826">
            <w:pPr>
              <w:jc w:val="left"/>
              <w:rPr>
                <w:sz w:val="17"/>
                <w:szCs w:val="17"/>
              </w:rPr>
            </w:pPr>
            <w:r w:rsidRPr="00166D67">
              <w:rPr>
                <w:sz w:val="17"/>
                <w:szCs w:val="17"/>
              </w:rPr>
              <w:t xml:space="preserve">ESMA has confirmed that the response date for all ongoing consultations with a closing date on, or after, the 16 March has been extended by four weeks. </w:t>
            </w:r>
          </w:p>
        </w:tc>
      </w:tr>
      <w:tr w:rsidR="00003826" w:rsidRPr="00166D67" w14:paraId="56009F10" w14:textId="77777777" w:rsidTr="001701F9">
        <w:trPr>
          <w:cantSplit/>
        </w:trPr>
        <w:tc>
          <w:tcPr>
            <w:tcW w:w="1097" w:type="dxa"/>
            <w:shd w:val="clear" w:color="auto" w:fill="auto"/>
          </w:tcPr>
          <w:p w14:paraId="2D523828" w14:textId="0C70517D" w:rsidR="00003826" w:rsidRPr="007F1827" w:rsidRDefault="00003826" w:rsidP="00003826">
            <w:pPr>
              <w:jc w:val="left"/>
              <w:rPr>
                <w:b/>
                <w:sz w:val="17"/>
                <w:szCs w:val="17"/>
              </w:rPr>
            </w:pPr>
            <w:r w:rsidRPr="007F1827">
              <w:rPr>
                <w:b/>
                <w:sz w:val="17"/>
                <w:szCs w:val="17"/>
              </w:rPr>
              <w:t>24 March 2020</w:t>
            </w:r>
          </w:p>
        </w:tc>
        <w:tc>
          <w:tcPr>
            <w:tcW w:w="1880" w:type="dxa"/>
            <w:shd w:val="clear" w:color="auto" w:fill="auto"/>
          </w:tcPr>
          <w:p w14:paraId="464124C2" w14:textId="44A7D84C" w:rsidR="00003826" w:rsidRPr="00166D67" w:rsidRDefault="00A324C3" w:rsidP="00003826">
            <w:pPr>
              <w:jc w:val="left"/>
              <w:rPr>
                <w:sz w:val="17"/>
                <w:szCs w:val="17"/>
              </w:rPr>
            </w:pPr>
            <w:hyperlink r:id="rId250" w:history="1">
              <w:r w:rsidR="00003826" w:rsidRPr="00166D67">
                <w:rPr>
                  <w:rStyle w:val="Hyperlink"/>
                  <w:sz w:val="17"/>
                  <w:szCs w:val="17"/>
                </w:rPr>
                <w:t>ESMA issues guidance on the accounting implications of COVID-19</w:t>
              </w:r>
            </w:hyperlink>
          </w:p>
        </w:tc>
        <w:tc>
          <w:tcPr>
            <w:tcW w:w="1819" w:type="dxa"/>
            <w:shd w:val="clear" w:color="auto" w:fill="auto"/>
          </w:tcPr>
          <w:p w14:paraId="4C2BF23B" w14:textId="77777777" w:rsidR="00003826" w:rsidRPr="00166D67" w:rsidRDefault="00003826" w:rsidP="00003826">
            <w:pPr>
              <w:jc w:val="left"/>
              <w:rPr>
                <w:sz w:val="17"/>
                <w:szCs w:val="17"/>
              </w:rPr>
            </w:pPr>
          </w:p>
        </w:tc>
        <w:tc>
          <w:tcPr>
            <w:tcW w:w="2155" w:type="dxa"/>
            <w:shd w:val="clear" w:color="auto" w:fill="auto"/>
          </w:tcPr>
          <w:p w14:paraId="4CF88D69" w14:textId="7BA0C8DB" w:rsidR="00003826" w:rsidRPr="00166D67" w:rsidRDefault="00003826" w:rsidP="00003826">
            <w:pPr>
              <w:jc w:val="left"/>
              <w:rPr>
                <w:rFonts w:asciiTheme="majorHAnsi" w:hAnsiTheme="majorHAnsi" w:cstheme="majorHAnsi"/>
                <w:sz w:val="17"/>
                <w:szCs w:val="17"/>
              </w:rPr>
            </w:pPr>
            <w:r w:rsidRPr="00166D67">
              <w:rPr>
                <w:sz w:val="17"/>
                <w:szCs w:val="17"/>
              </w:rPr>
              <w:t>Financial Market Participants</w:t>
            </w:r>
          </w:p>
        </w:tc>
        <w:tc>
          <w:tcPr>
            <w:tcW w:w="5523" w:type="dxa"/>
            <w:shd w:val="clear" w:color="auto" w:fill="auto"/>
          </w:tcPr>
          <w:p w14:paraId="7655D606" w14:textId="0CE5A3AD" w:rsidR="00003826" w:rsidRPr="00166D67" w:rsidRDefault="00003826" w:rsidP="00003826">
            <w:pPr>
              <w:jc w:val="left"/>
              <w:rPr>
                <w:sz w:val="17"/>
                <w:szCs w:val="17"/>
              </w:rPr>
            </w:pPr>
            <w:r w:rsidRPr="00166D67">
              <w:rPr>
                <w:sz w:val="17"/>
                <w:szCs w:val="17"/>
              </w:rPr>
              <w:t xml:space="preserve">ESMA has issued a public statement on some of the accounting implications of the economic support and relief measures adopted by the EU Member States in response to the COVID-19 outbreak. The measures include moratoria on the repayment of loans and the changes to the calculation of expected credit losses per IFRS 9. The EBA also issued a related statement regarding the prudential framework and accounting implications. </w:t>
            </w:r>
          </w:p>
        </w:tc>
      </w:tr>
      <w:tr w:rsidR="00003826" w:rsidRPr="00166D67" w14:paraId="6EEA588D" w14:textId="77777777" w:rsidTr="001701F9">
        <w:trPr>
          <w:cantSplit/>
        </w:trPr>
        <w:tc>
          <w:tcPr>
            <w:tcW w:w="1097" w:type="dxa"/>
            <w:shd w:val="clear" w:color="auto" w:fill="auto"/>
          </w:tcPr>
          <w:p w14:paraId="4763CFDF" w14:textId="78AA15B6" w:rsidR="00003826" w:rsidRPr="007F1827" w:rsidRDefault="00003826" w:rsidP="00003826">
            <w:pPr>
              <w:jc w:val="left"/>
              <w:rPr>
                <w:b/>
                <w:sz w:val="17"/>
                <w:szCs w:val="17"/>
              </w:rPr>
            </w:pPr>
            <w:r w:rsidRPr="007F1827">
              <w:rPr>
                <w:b/>
                <w:sz w:val="17"/>
                <w:szCs w:val="17"/>
              </w:rPr>
              <w:t>27 March 2020</w:t>
            </w:r>
          </w:p>
        </w:tc>
        <w:tc>
          <w:tcPr>
            <w:tcW w:w="1880" w:type="dxa"/>
            <w:shd w:val="clear" w:color="auto" w:fill="auto"/>
          </w:tcPr>
          <w:p w14:paraId="5B2A8A82" w14:textId="500FD095" w:rsidR="00003826" w:rsidRPr="00166D67" w:rsidRDefault="00A324C3" w:rsidP="00003826">
            <w:pPr>
              <w:jc w:val="left"/>
              <w:rPr>
                <w:sz w:val="17"/>
                <w:szCs w:val="17"/>
              </w:rPr>
            </w:pPr>
            <w:hyperlink r:id="rId251" w:history="1">
              <w:r w:rsidR="00003826" w:rsidRPr="00166D67">
                <w:rPr>
                  <w:rStyle w:val="Hyperlink"/>
                  <w:sz w:val="17"/>
                  <w:szCs w:val="17"/>
                </w:rPr>
                <w:t>ESMA confirms application date of equity transparency calculations</w:t>
              </w:r>
            </w:hyperlink>
          </w:p>
        </w:tc>
        <w:tc>
          <w:tcPr>
            <w:tcW w:w="1819" w:type="dxa"/>
            <w:shd w:val="clear" w:color="auto" w:fill="auto"/>
          </w:tcPr>
          <w:p w14:paraId="0A1077AB" w14:textId="77777777" w:rsidR="00003826" w:rsidRPr="00166D67" w:rsidRDefault="00003826" w:rsidP="00003826">
            <w:pPr>
              <w:jc w:val="left"/>
              <w:rPr>
                <w:sz w:val="17"/>
                <w:szCs w:val="17"/>
              </w:rPr>
            </w:pPr>
          </w:p>
        </w:tc>
        <w:tc>
          <w:tcPr>
            <w:tcW w:w="2155" w:type="dxa"/>
            <w:shd w:val="clear" w:color="auto" w:fill="auto"/>
          </w:tcPr>
          <w:p w14:paraId="34CB97D0" w14:textId="005CB2DE" w:rsidR="00003826" w:rsidRPr="00166D67" w:rsidRDefault="00003826" w:rsidP="00003826">
            <w:pPr>
              <w:jc w:val="left"/>
              <w:rPr>
                <w:sz w:val="17"/>
                <w:szCs w:val="17"/>
              </w:rPr>
            </w:pPr>
            <w:r w:rsidRPr="00166D67">
              <w:rPr>
                <w:rFonts w:asciiTheme="majorHAnsi" w:hAnsiTheme="majorHAnsi" w:cstheme="majorHAnsi"/>
                <w:sz w:val="17"/>
                <w:szCs w:val="17"/>
              </w:rPr>
              <w:t>MiFID investment firms, market operators and investors</w:t>
            </w:r>
          </w:p>
        </w:tc>
        <w:tc>
          <w:tcPr>
            <w:tcW w:w="5523" w:type="dxa"/>
            <w:shd w:val="clear" w:color="auto" w:fill="auto"/>
          </w:tcPr>
          <w:p w14:paraId="018BE55A" w14:textId="61988DDA" w:rsidR="00003826" w:rsidRPr="00166D67" w:rsidRDefault="00003826" w:rsidP="00003826">
            <w:pPr>
              <w:jc w:val="left"/>
              <w:rPr>
                <w:sz w:val="17"/>
                <w:szCs w:val="17"/>
              </w:rPr>
            </w:pPr>
            <w:r w:rsidRPr="00166D67">
              <w:rPr>
                <w:sz w:val="17"/>
                <w:szCs w:val="17"/>
              </w:rPr>
              <w:t xml:space="preserve">ESMA has confirmed that the date of application of the transparency calculations for equity instruments of 1 April 2020 remains unchanged. </w:t>
            </w:r>
          </w:p>
        </w:tc>
      </w:tr>
      <w:tr w:rsidR="00003826" w:rsidRPr="00166D67" w14:paraId="38531E2B" w14:textId="77777777" w:rsidTr="003E651E">
        <w:trPr>
          <w:cantSplit/>
        </w:trPr>
        <w:tc>
          <w:tcPr>
            <w:tcW w:w="1097" w:type="dxa"/>
            <w:shd w:val="clear" w:color="auto" w:fill="FFFFFF" w:themeFill="background1"/>
          </w:tcPr>
          <w:p w14:paraId="00E2FD6B" w14:textId="35767E99" w:rsidR="00003826" w:rsidRPr="007F1827" w:rsidRDefault="00003826" w:rsidP="00003826">
            <w:pPr>
              <w:jc w:val="left"/>
              <w:rPr>
                <w:b/>
                <w:sz w:val="17"/>
                <w:szCs w:val="17"/>
              </w:rPr>
            </w:pPr>
            <w:r w:rsidRPr="007F1827">
              <w:rPr>
                <w:b/>
                <w:sz w:val="17"/>
                <w:szCs w:val="17"/>
              </w:rPr>
              <w:t>27 March 2020</w:t>
            </w:r>
          </w:p>
        </w:tc>
        <w:tc>
          <w:tcPr>
            <w:tcW w:w="1880" w:type="dxa"/>
            <w:shd w:val="clear" w:color="auto" w:fill="FFFFFF" w:themeFill="background1"/>
          </w:tcPr>
          <w:p w14:paraId="1F20B310" w14:textId="180176CF" w:rsidR="00003826" w:rsidRPr="00166D67" w:rsidRDefault="00A324C3" w:rsidP="00003826">
            <w:pPr>
              <w:jc w:val="left"/>
              <w:rPr>
                <w:sz w:val="17"/>
                <w:szCs w:val="17"/>
              </w:rPr>
            </w:pPr>
            <w:hyperlink r:id="rId252" w:history="1">
              <w:r w:rsidR="00003826" w:rsidRPr="00166D67">
                <w:rPr>
                  <w:rStyle w:val="Hyperlink"/>
                  <w:sz w:val="17"/>
                  <w:szCs w:val="17"/>
                </w:rPr>
                <w:t>ESMA issues guidance on financial reporting deadlines in light of COVID-19</w:t>
              </w:r>
            </w:hyperlink>
          </w:p>
        </w:tc>
        <w:tc>
          <w:tcPr>
            <w:tcW w:w="1819" w:type="dxa"/>
            <w:shd w:val="clear" w:color="auto" w:fill="FFFFFF" w:themeFill="background1"/>
          </w:tcPr>
          <w:p w14:paraId="44822157" w14:textId="77777777" w:rsidR="00003826" w:rsidRPr="00166D67" w:rsidRDefault="00003826" w:rsidP="00003826">
            <w:pPr>
              <w:jc w:val="left"/>
              <w:rPr>
                <w:sz w:val="17"/>
                <w:szCs w:val="17"/>
              </w:rPr>
            </w:pPr>
          </w:p>
        </w:tc>
        <w:tc>
          <w:tcPr>
            <w:tcW w:w="2155" w:type="dxa"/>
            <w:shd w:val="clear" w:color="auto" w:fill="FFFFFF" w:themeFill="background1"/>
          </w:tcPr>
          <w:p w14:paraId="4F45D23F" w14:textId="6D7FA952" w:rsidR="00003826" w:rsidRPr="00166D67" w:rsidRDefault="00003826" w:rsidP="00003826">
            <w:pPr>
              <w:jc w:val="left"/>
              <w:rPr>
                <w:rFonts w:asciiTheme="majorHAnsi" w:hAnsiTheme="majorHAnsi" w:cstheme="majorHAnsi"/>
                <w:sz w:val="17"/>
                <w:szCs w:val="17"/>
              </w:rPr>
            </w:pPr>
            <w:r w:rsidRPr="00166D67">
              <w:rPr>
                <w:sz w:val="17"/>
                <w:szCs w:val="17"/>
              </w:rPr>
              <w:t>Financial Market Participants</w:t>
            </w:r>
          </w:p>
        </w:tc>
        <w:tc>
          <w:tcPr>
            <w:tcW w:w="5523" w:type="dxa"/>
            <w:shd w:val="clear" w:color="auto" w:fill="FFFFFF" w:themeFill="background1"/>
          </w:tcPr>
          <w:p w14:paraId="449F8F8E" w14:textId="793A4991" w:rsidR="00003826" w:rsidRPr="00166D67" w:rsidRDefault="00003826" w:rsidP="00003826">
            <w:pPr>
              <w:jc w:val="left"/>
              <w:rPr>
                <w:sz w:val="17"/>
                <w:szCs w:val="17"/>
              </w:rPr>
            </w:pPr>
            <w:r w:rsidRPr="00166D67">
              <w:rPr>
                <w:sz w:val="17"/>
                <w:szCs w:val="17"/>
              </w:rPr>
              <w:t xml:space="preserve">ESMA has issued a public statement on the implications of the COVID-19 pandemic on the deadlines for publishing financial reports applicable to listed issuers under the Transparency Directive. The statement recommend that forbearance measures should be applied by National Competent Authorities to issuers but that investors and shareholders should be continuously informed of expected publication dates. </w:t>
            </w:r>
          </w:p>
        </w:tc>
      </w:tr>
      <w:tr w:rsidR="00003826" w:rsidRPr="00166D67" w14:paraId="77E78BAD" w14:textId="77777777" w:rsidTr="001701F9">
        <w:trPr>
          <w:cantSplit/>
        </w:trPr>
        <w:tc>
          <w:tcPr>
            <w:tcW w:w="1097" w:type="dxa"/>
          </w:tcPr>
          <w:p w14:paraId="4D73A3DD" w14:textId="77777777" w:rsidR="00003826" w:rsidRPr="007F1827" w:rsidRDefault="00003826" w:rsidP="00003826">
            <w:pPr>
              <w:jc w:val="left"/>
              <w:rPr>
                <w:b/>
                <w:sz w:val="17"/>
                <w:szCs w:val="17"/>
              </w:rPr>
            </w:pPr>
            <w:r w:rsidRPr="007F1827">
              <w:rPr>
                <w:b/>
                <w:sz w:val="17"/>
                <w:szCs w:val="17"/>
              </w:rPr>
              <w:t>31 March 2020</w:t>
            </w:r>
          </w:p>
        </w:tc>
        <w:tc>
          <w:tcPr>
            <w:tcW w:w="1880" w:type="dxa"/>
          </w:tcPr>
          <w:p w14:paraId="68622AA0" w14:textId="77777777" w:rsidR="00003826" w:rsidRPr="00166D67" w:rsidRDefault="00A324C3" w:rsidP="00003826">
            <w:pPr>
              <w:jc w:val="left"/>
              <w:rPr>
                <w:sz w:val="17"/>
                <w:szCs w:val="17"/>
              </w:rPr>
            </w:pPr>
            <w:hyperlink r:id="rId253" w:history="1">
              <w:r w:rsidR="00003826" w:rsidRPr="00166D67">
                <w:rPr>
                  <w:rStyle w:val="Hyperlink"/>
                  <w:sz w:val="17"/>
                  <w:szCs w:val="17"/>
                </w:rPr>
                <w:t>ESMA provides clarifications for best execution reports under MiFID II</w:t>
              </w:r>
            </w:hyperlink>
          </w:p>
        </w:tc>
        <w:tc>
          <w:tcPr>
            <w:tcW w:w="1819" w:type="dxa"/>
          </w:tcPr>
          <w:p w14:paraId="190A380F" w14:textId="77777777" w:rsidR="00003826" w:rsidRPr="00166D67" w:rsidRDefault="00003826" w:rsidP="00003826">
            <w:pPr>
              <w:jc w:val="left"/>
              <w:rPr>
                <w:sz w:val="17"/>
                <w:szCs w:val="17"/>
              </w:rPr>
            </w:pPr>
          </w:p>
        </w:tc>
        <w:tc>
          <w:tcPr>
            <w:tcW w:w="2155" w:type="dxa"/>
          </w:tcPr>
          <w:p w14:paraId="38155B8F" w14:textId="77777777" w:rsidR="00003826" w:rsidRPr="00166D67" w:rsidRDefault="00003826" w:rsidP="00003826">
            <w:pPr>
              <w:jc w:val="left"/>
              <w:rPr>
                <w:sz w:val="17"/>
                <w:szCs w:val="17"/>
              </w:rPr>
            </w:pPr>
            <w:r w:rsidRPr="00166D67">
              <w:rPr>
                <w:sz w:val="17"/>
                <w:szCs w:val="17"/>
              </w:rPr>
              <w:t xml:space="preserve">Investment Firms, Regulated Markets, MTFs, OTFs, Systematic </w:t>
            </w:r>
            <w:proofErr w:type="spellStart"/>
            <w:r w:rsidRPr="00166D67">
              <w:rPr>
                <w:sz w:val="17"/>
                <w:szCs w:val="17"/>
              </w:rPr>
              <w:t>Internalisers</w:t>
            </w:r>
            <w:proofErr w:type="spellEnd"/>
          </w:p>
        </w:tc>
        <w:tc>
          <w:tcPr>
            <w:tcW w:w="5523" w:type="dxa"/>
          </w:tcPr>
          <w:p w14:paraId="26665B10" w14:textId="77777777" w:rsidR="00003826" w:rsidRPr="00166D67" w:rsidRDefault="00003826" w:rsidP="00003826">
            <w:pPr>
              <w:jc w:val="left"/>
              <w:rPr>
                <w:sz w:val="17"/>
                <w:szCs w:val="17"/>
              </w:rPr>
            </w:pPr>
            <w:r w:rsidRPr="00166D67">
              <w:rPr>
                <w:sz w:val="17"/>
                <w:szCs w:val="17"/>
              </w:rPr>
              <w:t xml:space="preserve">ESMA is aware that execution venues and certain firms are likely to encounter difficulties in preparing </w:t>
            </w:r>
            <w:r w:rsidRPr="00166D67">
              <w:rPr>
                <w:b/>
                <w:sz w:val="17"/>
                <w:szCs w:val="17"/>
              </w:rPr>
              <w:t>best execution reports</w:t>
            </w:r>
            <w:r w:rsidRPr="00166D67">
              <w:rPr>
                <w:sz w:val="17"/>
                <w:szCs w:val="17"/>
              </w:rPr>
              <w:t xml:space="preserve"> in accordance with MiFID II and RTS 27 and RTS 28.</w:t>
            </w:r>
          </w:p>
          <w:p w14:paraId="3FC02DAF" w14:textId="77777777" w:rsidR="00003826" w:rsidRPr="00166D67" w:rsidRDefault="00003826" w:rsidP="00003826">
            <w:pPr>
              <w:jc w:val="left"/>
              <w:rPr>
                <w:sz w:val="17"/>
                <w:szCs w:val="17"/>
              </w:rPr>
            </w:pPr>
            <w:r w:rsidRPr="00166D67">
              <w:rPr>
                <w:sz w:val="17"/>
                <w:szCs w:val="17"/>
              </w:rPr>
              <w:t>In carrying out supervisory activities, NCAs are expected to consider that, due to the COVID-19 pandemic:</w:t>
            </w:r>
          </w:p>
          <w:p w14:paraId="4AA5673E" w14:textId="77777777" w:rsidR="00003826" w:rsidRPr="00166D67" w:rsidRDefault="00003826" w:rsidP="00003826">
            <w:pPr>
              <w:pStyle w:val="ListParagraph"/>
              <w:numPr>
                <w:ilvl w:val="0"/>
                <w:numId w:val="11"/>
              </w:numPr>
              <w:jc w:val="left"/>
              <w:rPr>
                <w:sz w:val="17"/>
                <w:szCs w:val="17"/>
              </w:rPr>
            </w:pPr>
            <w:r w:rsidRPr="00166D67">
              <w:rPr>
                <w:sz w:val="17"/>
                <w:szCs w:val="17"/>
              </w:rPr>
              <w:t xml:space="preserve">execution venues unable to publish RTS 27 reports </w:t>
            </w:r>
            <w:r w:rsidRPr="00166D67">
              <w:rPr>
                <w:b/>
                <w:sz w:val="17"/>
                <w:szCs w:val="17"/>
              </w:rPr>
              <w:t>due by 31 March 2020</w:t>
            </w:r>
            <w:r w:rsidRPr="00166D67">
              <w:rPr>
                <w:sz w:val="17"/>
                <w:szCs w:val="17"/>
              </w:rPr>
              <w:t xml:space="preserve"> may only be able to publish them </w:t>
            </w:r>
            <w:r w:rsidRPr="00166D67">
              <w:rPr>
                <w:b/>
                <w:sz w:val="17"/>
                <w:szCs w:val="17"/>
              </w:rPr>
              <w:t>as soon as reasonably practicable after that date</w:t>
            </w:r>
            <w:r w:rsidRPr="00166D67">
              <w:rPr>
                <w:sz w:val="17"/>
                <w:szCs w:val="17"/>
              </w:rPr>
              <w:t xml:space="preserve"> and no later than by the following reporting deadline (i.e. </w:t>
            </w:r>
            <w:r w:rsidRPr="00166D67">
              <w:rPr>
                <w:b/>
                <w:sz w:val="17"/>
                <w:szCs w:val="17"/>
              </w:rPr>
              <w:t>30 June 2020</w:t>
            </w:r>
            <w:r w:rsidRPr="00166D67">
              <w:rPr>
                <w:sz w:val="17"/>
                <w:szCs w:val="17"/>
              </w:rPr>
              <w:t>); and</w:t>
            </w:r>
          </w:p>
          <w:p w14:paraId="4676991A" w14:textId="77777777" w:rsidR="00003826" w:rsidRPr="00166D67" w:rsidRDefault="00003826" w:rsidP="00003826">
            <w:pPr>
              <w:pStyle w:val="ListParagraph"/>
              <w:numPr>
                <w:ilvl w:val="0"/>
                <w:numId w:val="11"/>
              </w:numPr>
              <w:jc w:val="left"/>
              <w:rPr>
                <w:sz w:val="17"/>
                <w:szCs w:val="17"/>
              </w:rPr>
            </w:pPr>
            <w:proofErr w:type="gramStart"/>
            <w:r w:rsidRPr="00166D67">
              <w:rPr>
                <w:sz w:val="17"/>
                <w:szCs w:val="17"/>
              </w:rPr>
              <w:t>firms</w:t>
            </w:r>
            <w:proofErr w:type="gramEnd"/>
            <w:r w:rsidRPr="00166D67">
              <w:rPr>
                <w:sz w:val="17"/>
                <w:szCs w:val="17"/>
              </w:rPr>
              <w:t xml:space="preserve"> may only be able to publish the RTS 28 reports due by 30 April 2020 on or before </w:t>
            </w:r>
            <w:r w:rsidRPr="00166D67">
              <w:rPr>
                <w:b/>
                <w:sz w:val="17"/>
                <w:szCs w:val="17"/>
              </w:rPr>
              <w:t>30 June 2020</w:t>
            </w:r>
            <w:r w:rsidRPr="00166D67">
              <w:rPr>
                <w:sz w:val="17"/>
                <w:szCs w:val="17"/>
              </w:rPr>
              <w:t>.</w:t>
            </w:r>
          </w:p>
          <w:p w14:paraId="4EDC63A5" w14:textId="77777777" w:rsidR="00003826" w:rsidRPr="00166D67" w:rsidRDefault="00003826" w:rsidP="00003826">
            <w:pPr>
              <w:jc w:val="left"/>
              <w:rPr>
                <w:sz w:val="17"/>
                <w:szCs w:val="17"/>
              </w:rPr>
            </w:pPr>
            <w:r w:rsidRPr="00166D67">
              <w:rPr>
                <w:sz w:val="17"/>
                <w:szCs w:val="17"/>
              </w:rPr>
              <w:t>Firms are reminded of their obligations to achieve best execution for clients and to ensure fair order handling and allocations during current market volatility.</w:t>
            </w:r>
          </w:p>
        </w:tc>
      </w:tr>
      <w:tr w:rsidR="00003826" w:rsidRPr="00166D67" w14:paraId="491A624A" w14:textId="77777777" w:rsidTr="001701F9">
        <w:trPr>
          <w:cantSplit/>
        </w:trPr>
        <w:tc>
          <w:tcPr>
            <w:tcW w:w="1097" w:type="dxa"/>
          </w:tcPr>
          <w:p w14:paraId="08E66AC8" w14:textId="77777777" w:rsidR="00003826" w:rsidRPr="007F1827" w:rsidRDefault="00003826" w:rsidP="00003826">
            <w:pPr>
              <w:jc w:val="left"/>
              <w:rPr>
                <w:b/>
                <w:sz w:val="17"/>
                <w:szCs w:val="17"/>
              </w:rPr>
            </w:pPr>
            <w:r w:rsidRPr="007F1827">
              <w:rPr>
                <w:b/>
                <w:sz w:val="17"/>
                <w:szCs w:val="17"/>
              </w:rPr>
              <w:t>2 April 2020</w:t>
            </w:r>
          </w:p>
        </w:tc>
        <w:tc>
          <w:tcPr>
            <w:tcW w:w="1880" w:type="dxa"/>
          </w:tcPr>
          <w:p w14:paraId="0A9B22BF" w14:textId="77777777" w:rsidR="00003826" w:rsidRPr="00166D67" w:rsidRDefault="00A324C3" w:rsidP="00003826">
            <w:pPr>
              <w:jc w:val="left"/>
              <w:rPr>
                <w:sz w:val="17"/>
                <w:szCs w:val="17"/>
              </w:rPr>
            </w:pPr>
            <w:hyperlink r:id="rId254" w:history="1">
              <w:r w:rsidR="00003826" w:rsidRPr="00166D67">
                <w:rPr>
                  <w:rStyle w:val="Hyperlink"/>
                  <w:sz w:val="17"/>
                  <w:szCs w:val="17"/>
                </w:rPr>
                <w:t>ESMA updates its risk assessment in light of the COVID-19 pandemic</w:t>
              </w:r>
            </w:hyperlink>
          </w:p>
        </w:tc>
        <w:tc>
          <w:tcPr>
            <w:tcW w:w="1819" w:type="dxa"/>
          </w:tcPr>
          <w:p w14:paraId="7C90B3AD" w14:textId="77777777" w:rsidR="00003826" w:rsidRPr="00166D67" w:rsidRDefault="00003826" w:rsidP="00003826">
            <w:pPr>
              <w:jc w:val="left"/>
              <w:rPr>
                <w:sz w:val="17"/>
                <w:szCs w:val="17"/>
              </w:rPr>
            </w:pPr>
          </w:p>
        </w:tc>
        <w:tc>
          <w:tcPr>
            <w:tcW w:w="2155" w:type="dxa"/>
          </w:tcPr>
          <w:p w14:paraId="564A0030" w14:textId="47E92283" w:rsidR="00003826" w:rsidRPr="003E651E" w:rsidRDefault="00003826" w:rsidP="00003826">
            <w:pPr>
              <w:jc w:val="left"/>
              <w:rPr>
                <w:sz w:val="17"/>
                <w:szCs w:val="17"/>
              </w:rPr>
            </w:pPr>
            <w:r w:rsidRPr="003E651E">
              <w:rPr>
                <w:sz w:val="17"/>
                <w:szCs w:val="17"/>
              </w:rPr>
              <w:t>Financial markets participants</w:t>
            </w:r>
          </w:p>
        </w:tc>
        <w:tc>
          <w:tcPr>
            <w:tcW w:w="5523" w:type="dxa"/>
          </w:tcPr>
          <w:p w14:paraId="6FF61384" w14:textId="7E4ABB65" w:rsidR="00003826" w:rsidRPr="003E651E" w:rsidRDefault="00003826" w:rsidP="00003826">
            <w:pPr>
              <w:jc w:val="left"/>
              <w:rPr>
                <w:sz w:val="17"/>
                <w:szCs w:val="17"/>
              </w:rPr>
            </w:pPr>
            <w:r w:rsidRPr="003E651E">
              <w:rPr>
                <w:sz w:val="17"/>
                <w:szCs w:val="17"/>
              </w:rPr>
              <w:t>ESMA has updated its risk assessment to account of the impact of COVID-19 on EU markets. ESMA stated:</w:t>
            </w:r>
          </w:p>
          <w:p w14:paraId="4E57A63D" w14:textId="77777777" w:rsidR="00003826" w:rsidRPr="003E651E" w:rsidRDefault="00003826" w:rsidP="00003826">
            <w:pPr>
              <w:jc w:val="left"/>
              <w:rPr>
                <w:i/>
                <w:sz w:val="17"/>
                <w:szCs w:val="17"/>
              </w:rPr>
            </w:pPr>
            <w:r w:rsidRPr="003E651E">
              <w:rPr>
                <w:sz w:val="17"/>
                <w:szCs w:val="17"/>
              </w:rPr>
              <w:t>"</w:t>
            </w:r>
            <w:r w:rsidRPr="003E651E">
              <w:rPr>
                <w:i/>
                <w:sz w:val="17"/>
                <w:szCs w:val="17"/>
              </w:rPr>
              <w:t>The pandemic, in combination with existing valuation risks, has led to large equity market corrections since mid-February, driven by a sharp deterioration in the outlook for consumers, businesses and of the economic environment. Corporate bond, government bond markets and a number of investment funds show signs of stress. Market infrastructures have continued to function in an orderly manner despite significant surges in trading activity, the use of circuit breakers and increases in derivatives margins.</w:t>
            </w:r>
          </w:p>
          <w:p w14:paraId="13915299" w14:textId="77777777" w:rsidR="00003826" w:rsidRPr="003E651E" w:rsidRDefault="00003826" w:rsidP="00003826">
            <w:pPr>
              <w:jc w:val="left"/>
              <w:rPr>
                <w:sz w:val="17"/>
                <w:szCs w:val="17"/>
              </w:rPr>
            </w:pPr>
            <w:r w:rsidRPr="003E651E">
              <w:rPr>
                <w:b/>
                <w:i/>
                <w:sz w:val="17"/>
                <w:szCs w:val="17"/>
              </w:rPr>
              <w:t>ESMA sees a prolonged period of risk to institutional and retail investors of market corrections and very high risks across the whole of ESMA’s remit</w:t>
            </w:r>
            <w:r w:rsidRPr="003E651E">
              <w:rPr>
                <w:sz w:val="17"/>
                <w:szCs w:val="17"/>
              </w:rPr>
              <w:t>."</w:t>
            </w:r>
          </w:p>
        </w:tc>
      </w:tr>
      <w:tr w:rsidR="00003826" w:rsidRPr="00166D67" w14:paraId="323C5240" w14:textId="77777777" w:rsidTr="001701F9">
        <w:trPr>
          <w:cantSplit/>
        </w:trPr>
        <w:tc>
          <w:tcPr>
            <w:tcW w:w="1097" w:type="dxa"/>
          </w:tcPr>
          <w:p w14:paraId="55E343CD" w14:textId="228E7969" w:rsidR="00003826" w:rsidRPr="007F1827" w:rsidRDefault="00003826" w:rsidP="00003826">
            <w:pPr>
              <w:jc w:val="left"/>
              <w:rPr>
                <w:b/>
                <w:sz w:val="17"/>
                <w:szCs w:val="17"/>
              </w:rPr>
            </w:pPr>
            <w:r w:rsidRPr="007F1827">
              <w:rPr>
                <w:b/>
                <w:sz w:val="17"/>
                <w:szCs w:val="17"/>
              </w:rPr>
              <w:t>9 April 2020</w:t>
            </w:r>
          </w:p>
        </w:tc>
        <w:tc>
          <w:tcPr>
            <w:tcW w:w="1880" w:type="dxa"/>
          </w:tcPr>
          <w:p w14:paraId="0AACE651" w14:textId="3BC3D812" w:rsidR="00003826" w:rsidRPr="00166D67" w:rsidRDefault="00A324C3" w:rsidP="00003826">
            <w:pPr>
              <w:jc w:val="left"/>
              <w:rPr>
                <w:sz w:val="17"/>
                <w:szCs w:val="17"/>
              </w:rPr>
            </w:pPr>
            <w:hyperlink r:id="rId255" w:history="1">
              <w:r w:rsidR="00003826" w:rsidRPr="00166D67">
                <w:rPr>
                  <w:rStyle w:val="Hyperlink"/>
                  <w:sz w:val="17"/>
                  <w:szCs w:val="17"/>
                </w:rPr>
                <w:t>ESMA sets out supervisory expectations on publication of investment funds periodic reports</w:t>
              </w:r>
            </w:hyperlink>
          </w:p>
        </w:tc>
        <w:tc>
          <w:tcPr>
            <w:tcW w:w="1819" w:type="dxa"/>
          </w:tcPr>
          <w:p w14:paraId="260C78E9" w14:textId="77777777" w:rsidR="00003826" w:rsidRPr="00166D67" w:rsidRDefault="00003826" w:rsidP="00003826">
            <w:pPr>
              <w:jc w:val="left"/>
              <w:rPr>
                <w:sz w:val="17"/>
                <w:szCs w:val="17"/>
              </w:rPr>
            </w:pPr>
          </w:p>
        </w:tc>
        <w:tc>
          <w:tcPr>
            <w:tcW w:w="2155" w:type="dxa"/>
          </w:tcPr>
          <w:p w14:paraId="7D0CB354" w14:textId="14DD1299" w:rsidR="00003826" w:rsidRPr="00166D67" w:rsidRDefault="00003826" w:rsidP="00003826">
            <w:pPr>
              <w:jc w:val="left"/>
              <w:rPr>
                <w:sz w:val="17"/>
                <w:szCs w:val="17"/>
              </w:rPr>
            </w:pPr>
            <w:r w:rsidRPr="00166D67">
              <w:rPr>
                <w:sz w:val="17"/>
                <w:szCs w:val="17"/>
              </w:rPr>
              <w:t xml:space="preserve">Fund managers and self-managed UCITS investment companies </w:t>
            </w:r>
          </w:p>
          <w:p w14:paraId="4787410F" w14:textId="7BCCDB79" w:rsidR="00003826" w:rsidRPr="00166D67" w:rsidRDefault="00003826" w:rsidP="00003826">
            <w:pPr>
              <w:jc w:val="left"/>
              <w:rPr>
                <w:sz w:val="17"/>
                <w:szCs w:val="17"/>
              </w:rPr>
            </w:pPr>
          </w:p>
        </w:tc>
        <w:tc>
          <w:tcPr>
            <w:tcW w:w="5523" w:type="dxa"/>
          </w:tcPr>
          <w:p w14:paraId="2AD7C20E" w14:textId="5DDA1641" w:rsidR="00003826" w:rsidRPr="00166D67" w:rsidRDefault="00003826" w:rsidP="00003826">
            <w:pPr>
              <w:jc w:val="left"/>
              <w:rPr>
                <w:sz w:val="17"/>
                <w:szCs w:val="17"/>
              </w:rPr>
            </w:pPr>
            <w:r w:rsidRPr="00166D67">
              <w:rPr>
                <w:sz w:val="17"/>
                <w:szCs w:val="17"/>
              </w:rPr>
              <w:t xml:space="preserve">ESMA has recognised the difficulty faced by fund managers and auditors in </w:t>
            </w:r>
            <w:r w:rsidRPr="00166D67">
              <w:rPr>
                <w:b/>
                <w:sz w:val="17"/>
                <w:szCs w:val="17"/>
              </w:rPr>
              <w:t>preparing yearly and half-yearly reports</w:t>
            </w:r>
            <w:r w:rsidRPr="00166D67">
              <w:rPr>
                <w:sz w:val="17"/>
                <w:szCs w:val="17"/>
              </w:rPr>
              <w:t xml:space="preserve"> in accordance with regulatory deadlines. Accordingly, ESMA expects NCAs to take a risk-based approach to these regulatory obligations and not to prioritise supervisory actions against these market participants related to such deadlines. </w:t>
            </w:r>
          </w:p>
        </w:tc>
      </w:tr>
      <w:tr w:rsidR="00003826" w:rsidRPr="00166D67" w14:paraId="2CD202E5" w14:textId="77777777" w:rsidTr="001701F9">
        <w:trPr>
          <w:cantSplit/>
        </w:trPr>
        <w:tc>
          <w:tcPr>
            <w:tcW w:w="1097" w:type="dxa"/>
          </w:tcPr>
          <w:p w14:paraId="4BF6A45D" w14:textId="3EE0A6BA" w:rsidR="00003826" w:rsidRPr="007F1827" w:rsidRDefault="00003826" w:rsidP="00003826">
            <w:pPr>
              <w:jc w:val="left"/>
              <w:rPr>
                <w:b/>
                <w:sz w:val="17"/>
                <w:szCs w:val="17"/>
              </w:rPr>
            </w:pPr>
            <w:r w:rsidRPr="007F1827">
              <w:rPr>
                <w:b/>
                <w:sz w:val="17"/>
                <w:szCs w:val="17"/>
              </w:rPr>
              <w:t>9 April 2020</w:t>
            </w:r>
          </w:p>
        </w:tc>
        <w:tc>
          <w:tcPr>
            <w:tcW w:w="1880" w:type="dxa"/>
          </w:tcPr>
          <w:p w14:paraId="500C7108" w14:textId="13F17D85" w:rsidR="00003826" w:rsidRPr="00166D67" w:rsidRDefault="00A324C3" w:rsidP="00003826">
            <w:pPr>
              <w:jc w:val="left"/>
              <w:rPr>
                <w:sz w:val="17"/>
                <w:szCs w:val="17"/>
              </w:rPr>
            </w:pPr>
            <w:hyperlink r:id="rId256" w:history="1">
              <w:r w:rsidR="00003826" w:rsidRPr="00166D67">
                <w:rPr>
                  <w:rStyle w:val="Hyperlink"/>
                  <w:sz w:val="17"/>
                  <w:szCs w:val="17"/>
                </w:rPr>
                <w:t>ESMA promotes coordinated action regarding benchmarks external audit requirements</w:t>
              </w:r>
            </w:hyperlink>
          </w:p>
        </w:tc>
        <w:tc>
          <w:tcPr>
            <w:tcW w:w="1819" w:type="dxa"/>
          </w:tcPr>
          <w:p w14:paraId="0859134E" w14:textId="77777777" w:rsidR="00003826" w:rsidRPr="00166D67" w:rsidRDefault="00003826" w:rsidP="00003826">
            <w:pPr>
              <w:jc w:val="left"/>
              <w:rPr>
                <w:sz w:val="17"/>
                <w:szCs w:val="17"/>
              </w:rPr>
            </w:pPr>
          </w:p>
        </w:tc>
        <w:tc>
          <w:tcPr>
            <w:tcW w:w="2155" w:type="dxa"/>
          </w:tcPr>
          <w:p w14:paraId="73256807" w14:textId="00DAD040" w:rsidR="00003826" w:rsidRPr="00166D67" w:rsidRDefault="00003826" w:rsidP="00003826">
            <w:pPr>
              <w:jc w:val="left"/>
              <w:rPr>
                <w:sz w:val="17"/>
                <w:szCs w:val="17"/>
              </w:rPr>
            </w:pPr>
            <w:r w:rsidRPr="00166D67">
              <w:rPr>
                <w:sz w:val="17"/>
                <w:szCs w:val="17"/>
              </w:rPr>
              <w:t>Benchmark administrators</w:t>
            </w:r>
          </w:p>
          <w:p w14:paraId="1F19446A" w14:textId="77777777" w:rsidR="00003826" w:rsidRPr="00166D67" w:rsidRDefault="00003826" w:rsidP="00003826">
            <w:pPr>
              <w:jc w:val="left"/>
              <w:rPr>
                <w:sz w:val="17"/>
                <w:szCs w:val="17"/>
              </w:rPr>
            </w:pPr>
          </w:p>
          <w:p w14:paraId="5C46512E" w14:textId="2B131D15" w:rsidR="00003826" w:rsidRPr="00166D67" w:rsidRDefault="00003826" w:rsidP="00003826">
            <w:pPr>
              <w:jc w:val="left"/>
              <w:rPr>
                <w:sz w:val="17"/>
                <w:szCs w:val="17"/>
              </w:rPr>
            </w:pPr>
            <w:r w:rsidRPr="00166D67">
              <w:rPr>
                <w:sz w:val="17"/>
                <w:szCs w:val="17"/>
              </w:rPr>
              <w:t>Supervised contributors to interest rate benchmarks</w:t>
            </w:r>
          </w:p>
        </w:tc>
        <w:tc>
          <w:tcPr>
            <w:tcW w:w="5523" w:type="dxa"/>
          </w:tcPr>
          <w:p w14:paraId="3DCD2E24" w14:textId="77777777" w:rsidR="00003826" w:rsidRPr="003E651E" w:rsidRDefault="00003826" w:rsidP="00003826">
            <w:pPr>
              <w:jc w:val="left"/>
              <w:rPr>
                <w:sz w:val="17"/>
                <w:szCs w:val="17"/>
              </w:rPr>
            </w:pPr>
            <w:r w:rsidRPr="003E651E">
              <w:rPr>
                <w:sz w:val="17"/>
                <w:szCs w:val="17"/>
              </w:rPr>
              <w:t xml:space="preserve">ESMA has acknowledged the challenges that benchmark administrators and contributors to interest rate benchmarks, as well as their auditors, will likely face in fulfilling their </w:t>
            </w:r>
            <w:r w:rsidRPr="003E651E">
              <w:rPr>
                <w:b/>
                <w:sz w:val="17"/>
                <w:szCs w:val="17"/>
              </w:rPr>
              <w:t>external audit requirements</w:t>
            </w:r>
            <w:r w:rsidRPr="003E651E">
              <w:rPr>
                <w:sz w:val="17"/>
                <w:szCs w:val="17"/>
              </w:rPr>
              <w:t xml:space="preserve"> under the Benchmarks Regulation. For this reason ESMA expects NCAs not to prioritise supervisory actions related to the timely fulfilment of these obligations, provided that audits are carried out by </w:t>
            </w:r>
            <w:r w:rsidRPr="003E651E">
              <w:rPr>
                <w:b/>
                <w:sz w:val="17"/>
                <w:szCs w:val="17"/>
              </w:rPr>
              <w:t>30 September 2020</w:t>
            </w:r>
            <w:r w:rsidRPr="003E651E">
              <w:rPr>
                <w:sz w:val="17"/>
                <w:szCs w:val="17"/>
              </w:rPr>
              <w:t xml:space="preserve">.   </w:t>
            </w:r>
          </w:p>
          <w:p w14:paraId="7600107A" w14:textId="77777777" w:rsidR="00003826" w:rsidRPr="003E651E" w:rsidRDefault="00003826" w:rsidP="00003826">
            <w:pPr>
              <w:jc w:val="left"/>
              <w:rPr>
                <w:sz w:val="17"/>
                <w:szCs w:val="17"/>
              </w:rPr>
            </w:pPr>
          </w:p>
          <w:p w14:paraId="10A5343F" w14:textId="395A5E5F" w:rsidR="00003826" w:rsidRPr="003E651E" w:rsidRDefault="00003826" w:rsidP="00003826">
            <w:pPr>
              <w:jc w:val="left"/>
              <w:rPr>
                <w:sz w:val="17"/>
                <w:szCs w:val="17"/>
              </w:rPr>
            </w:pPr>
            <w:r w:rsidRPr="003E651E">
              <w:rPr>
                <w:sz w:val="17"/>
                <w:szCs w:val="17"/>
              </w:rPr>
              <w:t>This statement has expired. See update below entitled "Update to ESMA Statement promoting coordinated action regarding benchmarks external audit requirements".</w:t>
            </w:r>
          </w:p>
        </w:tc>
      </w:tr>
      <w:tr w:rsidR="00003826" w:rsidRPr="00166D67" w14:paraId="2C5A77AE" w14:textId="77777777" w:rsidTr="001701F9">
        <w:trPr>
          <w:cantSplit/>
        </w:trPr>
        <w:tc>
          <w:tcPr>
            <w:tcW w:w="1097" w:type="dxa"/>
          </w:tcPr>
          <w:p w14:paraId="5A664E95" w14:textId="2D07B78A" w:rsidR="00003826" w:rsidRPr="007F1827" w:rsidRDefault="00003826" w:rsidP="00003826">
            <w:pPr>
              <w:jc w:val="left"/>
              <w:rPr>
                <w:b/>
                <w:sz w:val="17"/>
                <w:szCs w:val="17"/>
              </w:rPr>
            </w:pPr>
            <w:r w:rsidRPr="007F1827">
              <w:rPr>
                <w:b/>
                <w:sz w:val="17"/>
                <w:szCs w:val="17"/>
              </w:rPr>
              <w:t>9 April 2020</w:t>
            </w:r>
          </w:p>
        </w:tc>
        <w:tc>
          <w:tcPr>
            <w:tcW w:w="1880" w:type="dxa"/>
          </w:tcPr>
          <w:p w14:paraId="21E1968D" w14:textId="744CF855" w:rsidR="00003826" w:rsidRPr="00166D67" w:rsidRDefault="00A324C3" w:rsidP="00003826">
            <w:pPr>
              <w:jc w:val="left"/>
              <w:rPr>
                <w:sz w:val="17"/>
                <w:szCs w:val="17"/>
              </w:rPr>
            </w:pPr>
            <w:hyperlink r:id="rId257" w:history="1">
              <w:r w:rsidR="00003826" w:rsidRPr="00166D67">
                <w:rPr>
                  <w:rStyle w:val="Hyperlink"/>
                  <w:sz w:val="17"/>
                  <w:szCs w:val="17"/>
                </w:rPr>
                <w:t>ESMA postpones publication dates for annual non-equity transparency calculations and quarterly SI data</w:t>
              </w:r>
            </w:hyperlink>
          </w:p>
        </w:tc>
        <w:tc>
          <w:tcPr>
            <w:tcW w:w="1819" w:type="dxa"/>
          </w:tcPr>
          <w:p w14:paraId="665972B1" w14:textId="77777777" w:rsidR="00003826" w:rsidRPr="00166D67" w:rsidRDefault="00003826" w:rsidP="00003826">
            <w:pPr>
              <w:jc w:val="left"/>
              <w:rPr>
                <w:sz w:val="17"/>
                <w:szCs w:val="17"/>
              </w:rPr>
            </w:pPr>
          </w:p>
        </w:tc>
        <w:tc>
          <w:tcPr>
            <w:tcW w:w="2155" w:type="dxa"/>
          </w:tcPr>
          <w:p w14:paraId="1091D77B" w14:textId="09DF492D" w:rsidR="00003826" w:rsidRPr="00166D67" w:rsidRDefault="00003826" w:rsidP="00003826">
            <w:pPr>
              <w:jc w:val="left"/>
              <w:rPr>
                <w:sz w:val="17"/>
                <w:szCs w:val="17"/>
              </w:rPr>
            </w:pPr>
            <w:r w:rsidRPr="00166D67">
              <w:rPr>
                <w:sz w:val="17"/>
                <w:szCs w:val="17"/>
              </w:rPr>
              <w:t>Financial markets participants</w:t>
            </w:r>
          </w:p>
        </w:tc>
        <w:tc>
          <w:tcPr>
            <w:tcW w:w="5523" w:type="dxa"/>
          </w:tcPr>
          <w:p w14:paraId="55EB0CD0" w14:textId="4FBC9CC3" w:rsidR="00003826" w:rsidRPr="003E651E" w:rsidRDefault="00003826" w:rsidP="00003826">
            <w:pPr>
              <w:jc w:val="left"/>
              <w:rPr>
                <w:sz w:val="17"/>
                <w:szCs w:val="17"/>
              </w:rPr>
            </w:pPr>
            <w:r w:rsidRPr="003E651E">
              <w:rPr>
                <w:sz w:val="17"/>
                <w:szCs w:val="17"/>
              </w:rPr>
              <w:t xml:space="preserve">ESMA has issued a public statement postponing non-equity transparency calculations and the calculations for the systematic </w:t>
            </w:r>
            <w:proofErr w:type="spellStart"/>
            <w:r w:rsidRPr="003E651E">
              <w:rPr>
                <w:sz w:val="17"/>
                <w:szCs w:val="17"/>
              </w:rPr>
              <w:t>internaliser</w:t>
            </w:r>
            <w:proofErr w:type="spellEnd"/>
            <w:r w:rsidRPr="003E651E">
              <w:rPr>
                <w:sz w:val="17"/>
                <w:szCs w:val="17"/>
              </w:rPr>
              <w:t xml:space="preserve"> test for derivatives, ETCs, ETNs, emission allowances and structured finance products under MiFID II.</w:t>
            </w:r>
          </w:p>
          <w:p w14:paraId="00A4C13F" w14:textId="69671CA4" w:rsidR="00003826" w:rsidRPr="003E651E" w:rsidRDefault="00003826" w:rsidP="00003826">
            <w:pPr>
              <w:jc w:val="left"/>
              <w:rPr>
                <w:sz w:val="17"/>
                <w:szCs w:val="17"/>
              </w:rPr>
            </w:pPr>
            <w:r w:rsidRPr="003E651E">
              <w:rPr>
                <w:sz w:val="17"/>
                <w:szCs w:val="17"/>
              </w:rPr>
              <w:t xml:space="preserve">The liquidity assessment and the determination of the pre-trade and post-trade large in scale and size specific to the instrument thresholds for derivatives, ETCs, ETNs, emission allowances and structured finance products will be postponed to </w:t>
            </w:r>
            <w:r w:rsidRPr="003E651E">
              <w:rPr>
                <w:b/>
                <w:sz w:val="17"/>
                <w:szCs w:val="17"/>
              </w:rPr>
              <w:t>15 July 2020</w:t>
            </w:r>
            <w:r w:rsidRPr="003E651E">
              <w:rPr>
                <w:sz w:val="17"/>
                <w:szCs w:val="17"/>
              </w:rPr>
              <w:t xml:space="preserve"> and their application </w:t>
            </w:r>
            <w:r w:rsidRPr="003E651E">
              <w:rPr>
                <w:b/>
                <w:sz w:val="17"/>
                <w:szCs w:val="17"/>
              </w:rPr>
              <w:t>to 15 September 2020</w:t>
            </w:r>
            <w:r w:rsidRPr="003E651E">
              <w:rPr>
                <w:sz w:val="17"/>
                <w:szCs w:val="17"/>
              </w:rPr>
              <w:t xml:space="preserve">. The transitional transparency calculations will continue to apply until and including </w:t>
            </w:r>
            <w:r w:rsidRPr="003E651E">
              <w:rPr>
                <w:b/>
                <w:sz w:val="17"/>
                <w:szCs w:val="17"/>
              </w:rPr>
              <w:t>14 September 2020</w:t>
            </w:r>
            <w:r w:rsidRPr="003E651E">
              <w:rPr>
                <w:sz w:val="17"/>
                <w:szCs w:val="17"/>
              </w:rPr>
              <w:t>.</w:t>
            </w:r>
          </w:p>
          <w:p w14:paraId="414ECE51" w14:textId="77777777" w:rsidR="00003826" w:rsidRPr="003E651E" w:rsidRDefault="00003826" w:rsidP="00003826">
            <w:pPr>
              <w:jc w:val="left"/>
              <w:rPr>
                <w:b/>
                <w:sz w:val="17"/>
                <w:szCs w:val="17"/>
              </w:rPr>
            </w:pPr>
            <w:r w:rsidRPr="003E651E">
              <w:rPr>
                <w:sz w:val="17"/>
                <w:szCs w:val="17"/>
              </w:rPr>
              <w:t xml:space="preserve">The mandatory systematic </w:t>
            </w:r>
            <w:proofErr w:type="spellStart"/>
            <w:r w:rsidRPr="003E651E">
              <w:rPr>
                <w:sz w:val="17"/>
                <w:szCs w:val="17"/>
              </w:rPr>
              <w:t>internaliser</w:t>
            </w:r>
            <w:proofErr w:type="spellEnd"/>
            <w:r w:rsidRPr="003E651E">
              <w:rPr>
                <w:sz w:val="17"/>
                <w:szCs w:val="17"/>
              </w:rPr>
              <w:t xml:space="preserve"> regime for derivatives, ETCs, ETNs, emission allowances and structured finance products will apply from </w:t>
            </w:r>
            <w:r w:rsidRPr="003E651E">
              <w:rPr>
                <w:b/>
                <w:sz w:val="17"/>
                <w:szCs w:val="17"/>
              </w:rPr>
              <w:t>15 September 2020.</w:t>
            </w:r>
          </w:p>
          <w:p w14:paraId="34313A8E" w14:textId="2AC24640" w:rsidR="00003826" w:rsidRPr="003E651E" w:rsidRDefault="00003826" w:rsidP="00003826">
            <w:pPr>
              <w:jc w:val="left"/>
              <w:rPr>
                <w:sz w:val="17"/>
                <w:szCs w:val="17"/>
              </w:rPr>
            </w:pPr>
            <w:r w:rsidRPr="003E651E">
              <w:rPr>
                <w:sz w:val="17"/>
                <w:szCs w:val="17"/>
              </w:rPr>
              <w:t xml:space="preserve">Annual transparency calculations for bonds will remain unchanged and the new pre-trade and post-trade large in scale and size specific to the instrument thresholds will be applicable from </w:t>
            </w:r>
            <w:r w:rsidRPr="003E651E">
              <w:rPr>
                <w:b/>
                <w:sz w:val="17"/>
                <w:szCs w:val="17"/>
              </w:rPr>
              <w:t>1 June 2020</w:t>
            </w:r>
            <w:r w:rsidRPr="003E651E">
              <w:rPr>
                <w:sz w:val="17"/>
                <w:szCs w:val="17"/>
              </w:rPr>
              <w:t>.</w:t>
            </w:r>
            <w:r w:rsidRPr="003E651E">
              <w:rPr>
                <w:sz w:val="17"/>
                <w:szCs w:val="17"/>
              </w:rPr>
              <w:tab/>
            </w:r>
          </w:p>
        </w:tc>
      </w:tr>
      <w:tr w:rsidR="00003826" w:rsidRPr="00166D67" w14:paraId="6C6B08E0" w14:textId="77777777" w:rsidTr="001701F9">
        <w:trPr>
          <w:cantSplit/>
        </w:trPr>
        <w:tc>
          <w:tcPr>
            <w:tcW w:w="1097" w:type="dxa"/>
            <w:shd w:val="clear" w:color="auto" w:fill="auto"/>
          </w:tcPr>
          <w:p w14:paraId="3402D5D7" w14:textId="40BC5512" w:rsidR="00003826" w:rsidRPr="007F1827" w:rsidRDefault="00003826" w:rsidP="00003826">
            <w:pPr>
              <w:jc w:val="left"/>
              <w:rPr>
                <w:b/>
                <w:sz w:val="17"/>
                <w:szCs w:val="17"/>
              </w:rPr>
            </w:pPr>
            <w:r w:rsidRPr="007F1827">
              <w:rPr>
                <w:rFonts w:asciiTheme="majorHAnsi" w:hAnsiTheme="majorHAnsi" w:cstheme="majorHAnsi"/>
                <w:b/>
                <w:sz w:val="17"/>
                <w:szCs w:val="17"/>
              </w:rPr>
              <w:t>9 April 2020</w:t>
            </w:r>
          </w:p>
        </w:tc>
        <w:tc>
          <w:tcPr>
            <w:tcW w:w="1880" w:type="dxa"/>
            <w:shd w:val="clear" w:color="auto" w:fill="auto"/>
          </w:tcPr>
          <w:p w14:paraId="6BD25F16" w14:textId="1418624B" w:rsidR="00003826" w:rsidRPr="00166D67" w:rsidRDefault="00A324C3" w:rsidP="00003826">
            <w:pPr>
              <w:jc w:val="left"/>
              <w:rPr>
                <w:sz w:val="17"/>
                <w:szCs w:val="17"/>
              </w:rPr>
            </w:pPr>
            <w:hyperlink r:id="rId258" w:history="1">
              <w:r w:rsidR="00003826" w:rsidRPr="00166D67">
                <w:rPr>
                  <w:rStyle w:val="Hyperlink"/>
                  <w:rFonts w:asciiTheme="majorHAnsi" w:hAnsiTheme="majorHAnsi" w:cstheme="majorHAnsi"/>
                  <w:sz w:val="17"/>
                  <w:szCs w:val="17"/>
                </w:rPr>
                <w:t>ESMA extends MiFID II/</w:t>
              </w:r>
              <w:proofErr w:type="spellStart"/>
              <w:r w:rsidR="00003826" w:rsidRPr="00166D67">
                <w:rPr>
                  <w:rStyle w:val="Hyperlink"/>
                  <w:rFonts w:asciiTheme="majorHAnsi" w:hAnsiTheme="majorHAnsi" w:cstheme="majorHAnsi"/>
                  <w:sz w:val="17"/>
                  <w:szCs w:val="17"/>
                </w:rPr>
                <w:t>MiFIR</w:t>
              </w:r>
              <w:proofErr w:type="spellEnd"/>
              <w:r w:rsidR="00003826" w:rsidRPr="00166D67">
                <w:rPr>
                  <w:rStyle w:val="Hyperlink"/>
                  <w:rFonts w:asciiTheme="majorHAnsi" w:hAnsiTheme="majorHAnsi" w:cstheme="majorHAnsi"/>
                  <w:sz w:val="17"/>
                  <w:szCs w:val="17"/>
                </w:rPr>
                <w:t xml:space="preserve"> Transparency Review Report Consultation to 14 June 2020</w:t>
              </w:r>
            </w:hyperlink>
          </w:p>
        </w:tc>
        <w:tc>
          <w:tcPr>
            <w:tcW w:w="1819" w:type="dxa"/>
            <w:shd w:val="clear" w:color="auto" w:fill="auto"/>
          </w:tcPr>
          <w:p w14:paraId="0096C1DD" w14:textId="77777777" w:rsidR="00003826" w:rsidRPr="00166D67" w:rsidRDefault="00003826" w:rsidP="00003826">
            <w:pPr>
              <w:jc w:val="left"/>
              <w:rPr>
                <w:sz w:val="17"/>
                <w:szCs w:val="17"/>
              </w:rPr>
            </w:pPr>
          </w:p>
        </w:tc>
        <w:tc>
          <w:tcPr>
            <w:tcW w:w="2155" w:type="dxa"/>
            <w:shd w:val="clear" w:color="auto" w:fill="auto"/>
          </w:tcPr>
          <w:p w14:paraId="3297D9EF" w14:textId="1D9E3381" w:rsidR="00003826" w:rsidRPr="00166D67" w:rsidRDefault="00003826" w:rsidP="00003826">
            <w:pPr>
              <w:jc w:val="left"/>
              <w:rPr>
                <w:sz w:val="17"/>
                <w:szCs w:val="17"/>
              </w:rPr>
            </w:pPr>
            <w:r w:rsidRPr="00166D67">
              <w:rPr>
                <w:rFonts w:asciiTheme="majorHAnsi" w:hAnsiTheme="majorHAnsi" w:cstheme="majorHAnsi"/>
                <w:sz w:val="17"/>
                <w:szCs w:val="17"/>
              </w:rPr>
              <w:t>MiFID investment firms, market operators and investors</w:t>
            </w:r>
          </w:p>
        </w:tc>
        <w:tc>
          <w:tcPr>
            <w:tcW w:w="5523" w:type="dxa"/>
            <w:shd w:val="clear" w:color="auto" w:fill="auto"/>
          </w:tcPr>
          <w:p w14:paraId="06906478" w14:textId="656CD337" w:rsidR="00003826" w:rsidRPr="00166D67" w:rsidRDefault="00003826" w:rsidP="00003826">
            <w:pPr>
              <w:jc w:val="left"/>
              <w:rPr>
                <w:sz w:val="17"/>
                <w:szCs w:val="17"/>
              </w:rPr>
            </w:pPr>
            <w:r w:rsidRPr="00166D67">
              <w:rPr>
                <w:rFonts w:asciiTheme="majorHAnsi" w:hAnsiTheme="majorHAnsi" w:cstheme="majorHAnsi"/>
                <w:sz w:val="17"/>
                <w:szCs w:val="17"/>
              </w:rPr>
              <w:t xml:space="preserve">The response date for the consultation on the MiFID II/MIFIR review report on the transparency regime for non-equity instruments and the trading obligation for derivatives is moved to 14 June 2020. </w:t>
            </w:r>
          </w:p>
        </w:tc>
      </w:tr>
      <w:tr w:rsidR="00003826" w:rsidRPr="00166D67" w14:paraId="367A4D22" w14:textId="77777777" w:rsidTr="001701F9">
        <w:trPr>
          <w:cantSplit/>
        </w:trPr>
        <w:tc>
          <w:tcPr>
            <w:tcW w:w="1097" w:type="dxa"/>
            <w:shd w:val="clear" w:color="auto" w:fill="auto"/>
          </w:tcPr>
          <w:p w14:paraId="66887330" w14:textId="2A436CF0" w:rsidR="00003826" w:rsidRPr="007F1827" w:rsidRDefault="00003826" w:rsidP="00003826">
            <w:pPr>
              <w:jc w:val="left"/>
              <w:rPr>
                <w:b/>
                <w:sz w:val="17"/>
                <w:szCs w:val="17"/>
              </w:rPr>
            </w:pPr>
            <w:r w:rsidRPr="007F1827">
              <w:rPr>
                <w:b/>
                <w:sz w:val="17"/>
                <w:szCs w:val="17"/>
              </w:rPr>
              <w:t>17 April 2020</w:t>
            </w:r>
          </w:p>
        </w:tc>
        <w:tc>
          <w:tcPr>
            <w:tcW w:w="1880" w:type="dxa"/>
            <w:shd w:val="clear" w:color="auto" w:fill="auto"/>
          </w:tcPr>
          <w:p w14:paraId="1BB7F353" w14:textId="149373F4" w:rsidR="00003826" w:rsidRPr="00166D67" w:rsidRDefault="00A324C3" w:rsidP="00003826">
            <w:pPr>
              <w:jc w:val="left"/>
              <w:rPr>
                <w:sz w:val="17"/>
                <w:szCs w:val="17"/>
              </w:rPr>
            </w:pPr>
            <w:hyperlink r:id="rId259" w:history="1">
              <w:r w:rsidR="00003826" w:rsidRPr="00166D67">
                <w:rPr>
                  <w:rStyle w:val="Hyperlink"/>
                  <w:sz w:val="17"/>
                  <w:szCs w:val="17"/>
                </w:rPr>
                <w:t>ESMA issues new Q&amp;A on alternative performance measures in the context of COVID-19</w:t>
              </w:r>
            </w:hyperlink>
          </w:p>
        </w:tc>
        <w:tc>
          <w:tcPr>
            <w:tcW w:w="1819" w:type="dxa"/>
            <w:shd w:val="clear" w:color="auto" w:fill="auto"/>
          </w:tcPr>
          <w:p w14:paraId="7AFE666E" w14:textId="77777777" w:rsidR="00003826" w:rsidRPr="00166D67" w:rsidRDefault="00003826" w:rsidP="00003826">
            <w:pPr>
              <w:jc w:val="left"/>
              <w:rPr>
                <w:sz w:val="17"/>
                <w:szCs w:val="17"/>
              </w:rPr>
            </w:pPr>
          </w:p>
        </w:tc>
        <w:tc>
          <w:tcPr>
            <w:tcW w:w="2155" w:type="dxa"/>
            <w:shd w:val="clear" w:color="auto" w:fill="auto"/>
          </w:tcPr>
          <w:p w14:paraId="1A1A6183" w14:textId="77777777" w:rsidR="00003826" w:rsidRPr="00166D67" w:rsidRDefault="00003826" w:rsidP="00003826">
            <w:pPr>
              <w:jc w:val="left"/>
              <w:rPr>
                <w:sz w:val="17"/>
                <w:szCs w:val="17"/>
              </w:rPr>
            </w:pPr>
            <w:r w:rsidRPr="00166D67">
              <w:rPr>
                <w:sz w:val="17"/>
                <w:szCs w:val="17"/>
              </w:rPr>
              <w:t>Issuers of securities admitted to trading on a regulated market</w:t>
            </w:r>
          </w:p>
          <w:p w14:paraId="1B07191B" w14:textId="77777777" w:rsidR="00003826" w:rsidRPr="00166D67" w:rsidRDefault="00003826" w:rsidP="00003826">
            <w:pPr>
              <w:jc w:val="left"/>
              <w:rPr>
                <w:sz w:val="17"/>
                <w:szCs w:val="17"/>
              </w:rPr>
            </w:pPr>
          </w:p>
          <w:p w14:paraId="0CAC7B68" w14:textId="34F4DA70" w:rsidR="00003826" w:rsidRPr="00166D67" w:rsidRDefault="00003826" w:rsidP="00003826">
            <w:pPr>
              <w:jc w:val="left"/>
              <w:rPr>
                <w:sz w:val="17"/>
                <w:szCs w:val="17"/>
              </w:rPr>
            </w:pPr>
            <w:r w:rsidRPr="00166D67">
              <w:rPr>
                <w:sz w:val="17"/>
                <w:szCs w:val="17"/>
              </w:rPr>
              <w:t>Persons responsible for a prospectus</w:t>
            </w:r>
          </w:p>
        </w:tc>
        <w:tc>
          <w:tcPr>
            <w:tcW w:w="5523" w:type="dxa"/>
            <w:shd w:val="clear" w:color="auto" w:fill="auto"/>
          </w:tcPr>
          <w:p w14:paraId="1367BCD3" w14:textId="27DE99D8" w:rsidR="00003826" w:rsidRPr="00166D67" w:rsidRDefault="00003826" w:rsidP="00003826">
            <w:pPr>
              <w:jc w:val="left"/>
              <w:rPr>
                <w:sz w:val="17"/>
                <w:szCs w:val="17"/>
              </w:rPr>
            </w:pPr>
            <w:r w:rsidRPr="00166D67">
              <w:rPr>
                <w:sz w:val="17"/>
                <w:szCs w:val="17"/>
              </w:rPr>
              <w:t>ESMA has updated its Q&amp;A on the Guidelines on Alternative Performance Measures (</w:t>
            </w:r>
            <w:r w:rsidRPr="00166D67">
              <w:rPr>
                <w:b/>
                <w:sz w:val="17"/>
                <w:szCs w:val="17"/>
              </w:rPr>
              <w:t>APM</w:t>
            </w:r>
            <w:r w:rsidRPr="00166D67">
              <w:rPr>
                <w:sz w:val="17"/>
                <w:szCs w:val="17"/>
              </w:rPr>
              <w:t>s). The Q&amp;A now clarifies ESMA's expectations around the use of APMs in prospectuses and regulated information in the context of the COVID-19 pandemic.</w:t>
            </w:r>
          </w:p>
          <w:p w14:paraId="75F3862E" w14:textId="24982964" w:rsidR="00003826" w:rsidRPr="00166D67" w:rsidRDefault="00003826" w:rsidP="00003826">
            <w:pPr>
              <w:jc w:val="left"/>
              <w:rPr>
                <w:sz w:val="17"/>
                <w:szCs w:val="17"/>
              </w:rPr>
            </w:pPr>
            <w:r w:rsidRPr="00166D67">
              <w:rPr>
                <w:sz w:val="17"/>
                <w:szCs w:val="17"/>
              </w:rPr>
              <w:t>The Q&amp;A encourages issuers, before adjusting APMs or including new APMs to address COVID-19, to carefully assess whether the adjustments or new APMs would provide transparent and useful information to the market, improve comparability, re-liability and/or comprehensibility of APMs and of the financial information disclosed to the market.</w:t>
            </w:r>
          </w:p>
          <w:p w14:paraId="01E404B9" w14:textId="4BE003CD" w:rsidR="00003826" w:rsidRPr="00166D67" w:rsidRDefault="00003826" w:rsidP="00003826">
            <w:pPr>
              <w:jc w:val="left"/>
              <w:rPr>
                <w:sz w:val="17"/>
                <w:szCs w:val="17"/>
              </w:rPr>
            </w:pPr>
            <w:r w:rsidRPr="00166D67">
              <w:rPr>
                <w:sz w:val="17"/>
                <w:szCs w:val="17"/>
              </w:rPr>
              <w:t xml:space="preserve">ESMA has also urged issuers to include narrative information dealing with the changes made, the assumptions used and the impact of COVID-19 in their communication documents. In addition, issuers should provide information on measures they have taken (or expect to take) to address the potential impact of the pandemic on their operations and performance. </w:t>
            </w:r>
          </w:p>
          <w:p w14:paraId="5006F88E" w14:textId="3EFFC9F5" w:rsidR="00003826" w:rsidRPr="00166D67" w:rsidRDefault="00003826" w:rsidP="00003826">
            <w:pPr>
              <w:jc w:val="left"/>
              <w:rPr>
                <w:sz w:val="17"/>
                <w:szCs w:val="17"/>
              </w:rPr>
            </w:pPr>
          </w:p>
        </w:tc>
      </w:tr>
      <w:tr w:rsidR="00003826" w:rsidRPr="00166D67" w14:paraId="61FE1DE9" w14:textId="77777777" w:rsidTr="001701F9">
        <w:trPr>
          <w:cantSplit/>
        </w:trPr>
        <w:tc>
          <w:tcPr>
            <w:tcW w:w="1097" w:type="dxa"/>
            <w:shd w:val="clear" w:color="auto" w:fill="auto"/>
          </w:tcPr>
          <w:p w14:paraId="3C2A5ED4" w14:textId="04957C10" w:rsidR="00003826" w:rsidRPr="007F1827" w:rsidRDefault="00003826" w:rsidP="00003826">
            <w:pPr>
              <w:jc w:val="left"/>
              <w:rPr>
                <w:b/>
                <w:sz w:val="17"/>
                <w:szCs w:val="17"/>
              </w:rPr>
            </w:pPr>
            <w:r w:rsidRPr="007F1827">
              <w:rPr>
                <w:b/>
                <w:sz w:val="17"/>
                <w:szCs w:val="17"/>
              </w:rPr>
              <w:t>4 May 2020</w:t>
            </w:r>
          </w:p>
        </w:tc>
        <w:tc>
          <w:tcPr>
            <w:tcW w:w="1880" w:type="dxa"/>
            <w:shd w:val="clear" w:color="auto" w:fill="auto"/>
          </w:tcPr>
          <w:p w14:paraId="4084B81E" w14:textId="19B9C73B" w:rsidR="00003826" w:rsidRPr="00166D67" w:rsidRDefault="00A324C3" w:rsidP="00003826">
            <w:pPr>
              <w:jc w:val="left"/>
              <w:rPr>
                <w:sz w:val="17"/>
                <w:szCs w:val="17"/>
              </w:rPr>
            </w:pPr>
            <w:hyperlink r:id="rId260" w:history="1">
              <w:r w:rsidR="00003826" w:rsidRPr="00166D67">
                <w:rPr>
                  <w:rStyle w:val="Hyperlink"/>
                  <w:sz w:val="17"/>
                  <w:szCs w:val="17"/>
                </w:rPr>
                <w:t>Joint RTS on amendments to the bilateral margin requirements under EMIR in response to the COVID-19 outbreak</w:t>
              </w:r>
            </w:hyperlink>
          </w:p>
        </w:tc>
        <w:tc>
          <w:tcPr>
            <w:tcW w:w="1819" w:type="dxa"/>
            <w:shd w:val="clear" w:color="auto" w:fill="auto"/>
          </w:tcPr>
          <w:p w14:paraId="3E982D37" w14:textId="77777777" w:rsidR="00003826" w:rsidRPr="00166D67" w:rsidRDefault="00003826" w:rsidP="00003826">
            <w:pPr>
              <w:jc w:val="left"/>
              <w:rPr>
                <w:sz w:val="17"/>
                <w:szCs w:val="17"/>
              </w:rPr>
            </w:pPr>
          </w:p>
        </w:tc>
        <w:tc>
          <w:tcPr>
            <w:tcW w:w="2155" w:type="dxa"/>
            <w:shd w:val="clear" w:color="auto" w:fill="auto"/>
          </w:tcPr>
          <w:p w14:paraId="6F0B7A68" w14:textId="73D12E3C" w:rsidR="00003826" w:rsidRPr="00166D67" w:rsidRDefault="00003826" w:rsidP="00003826">
            <w:pPr>
              <w:jc w:val="left"/>
              <w:rPr>
                <w:sz w:val="17"/>
                <w:szCs w:val="17"/>
              </w:rPr>
            </w:pPr>
            <w:r w:rsidRPr="00166D67">
              <w:rPr>
                <w:sz w:val="17"/>
                <w:szCs w:val="17"/>
              </w:rPr>
              <w:t>Financial markets participants</w:t>
            </w:r>
          </w:p>
        </w:tc>
        <w:tc>
          <w:tcPr>
            <w:tcW w:w="5523" w:type="dxa"/>
            <w:shd w:val="clear" w:color="auto" w:fill="auto"/>
          </w:tcPr>
          <w:p w14:paraId="2663E969" w14:textId="0DFC7907" w:rsidR="00003826" w:rsidRPr="00166D67" w:rsidRDefault="00003826" w:rsidP="00003826">
            <w:pPr>
              <w:jc w:val="left"/>
              <w:rPr>
                <w:rFonts w:asciiTheme="majorHAnsi" w:hAnsiTheme="majorHAnsi" w:cstheme="majorHAnsi"/>
                <w:sz w:val="17"/>
                <w:szCs w:val="17"/>
              </w:rPr>
            </w:pPr>
            <w:r w:rsidRPr="00166D67">
              <w:rPr>
                <w:rFonts w:asciiTheme="majorHAnsi" w:hAnsiTheme="majorHAnsi" w:cstheme="majorHAnsi"/>
                <w:sz w:val="17"/>
                <w:szCs w:val="17"/>
              </w:rPr>
              <w:t>ESMA, EIOPA and the EBA, in response to the COVID-19 outbreak, have published joint draft Regulatory Technical Standards (</w:t>
            </w:r>
            <w:r w:rsidRPr="00166D67">
              <w:rPr>
                <w:rFonts w:asciiTheme="majorHAnsi" w:hAnsiTheme="majorHAnsi" w:cstheme="majorHAnsi"/>
                <w:b/>
                <w:sz w:val="17"/>
                <w:szCs w:val="17"/>
              </w:rPr>
              <w:t>RTS</w:t>
            </w:r>
            <w:r w:rsidRPr="00166D67">
              <w:rPr>
                <w:rFonts w:asciiTheme="majorHAnsi" w:hAnsiTheme="majorHAnsi" w:cstheme="majorHAnsi"/>
                <w:sz w:val="17"/>
                <w:szCs w:val="17"/>
              </w:rPr>
              <w:t>) amending the Delegated Regulation on the risk mitigation techniques for non-centrally cleared OTC derivatives (bilateral margining) under the European Markets Infrastructure Regulation (</w:t>
            </w:r>
            <w:r w:rsidRPr="00166D67">
              <w:rPr>
                <w:rFonts w:asciiTheme="majorHAnsi" w:hAnsiTheme="majorHAnsi" w:cstheme="majorHAnsi"/>
                <w:b/>
                <w:sz w:val="17"/>
                <w:szCs w:val="17"/>
              </w:rPr>
              <w:t>EMIR</w:t>
            </w:r>
            <w:r w:rsidRPr="00166D67">
              <w:rPr>
                <w:rFonts w:asciiTheme="majorHAnsi" w:hAnsiTheme="majorHAnsi" w:cstheme="majorHAnsi"/>
                <w:sz w:val="17"/>
                <w:szCs w:val="17"/>
              </w:rPr>
              <w:t xml:space="preserve">) to incorporate a one-year deferral of the two implementation phases of the bilateral margining requirements. </w:t>
            </w:r>
          </w:p>
        </w:tc>
      </w:tr>
      <w:tr w:rsidR="00003826" w:rsidRPr="00166D67" w14:paraId="79C8C3CA" w14:textId="77777777" w:rsidTr="001701F9">
        <w:trPr>
          <w:cantSplit/>
        </w:trPr>
        <w:tc>
          <w:tcPr>
            <w:tcW w:w="1097" w:type="dxa"/>
            <w:shd w:val="clear" w:color="auto" w:fill="auto"/>
          </w:tcPr>
          <w:p w14:paraId="53788E09" w14:textId="6B381BEC" w:rsidR="00003826" w:rsidRPr="007F1827" w:rsidRDefault="00003826" w:rsidP="00003826">
            <w:pPr>
              <w:jc w:val="left"/>
              <w:rPr>
                <w:b/>
                <w:sz w:val="17"/>
                <w:szCs w:val="17"/>
              </w:rPr>
            </w:pPr>
            <w:r w:rsidRPr="007F1827">
              <w:rPr>
                <w:b/>
                <w:sz w:val="17"/>
                <w:szCs w:val="17"/>
              </w:rPr>
              <w:t>6 May 2020</w:t>
            </w:r>
          </w:p>
        </w:tc>
        <w:tc>
          <w:tcPr>
            <w:tcW w:w="1880" w:type="dxa"/>
            <w:shd w:val="clear" w:color="auto" w:fill="auto"/>
          </w:tcPr>
          <w:p w14:paraId="52EDE0B6" w14:textId="3347C1B1" w:rsidR="00003826" w:rsidRPr="00166D67" w:rsidRDefault="00A324C3" w:rsidP="00003826">
            <w:pPr>
              <w:jc w:val="left"/>
              <w:rPr>
                <w:sz w:val="17"/>
                <w:szCs w:val="17"/>
              </w:rPr>
            </w:pPr>
            <w:hyperlink r:id="rId261" w:history="1">
              <w:r w:rsidR="00003826" w:rsidRPr="00166D67">
                <w:rPr>
                  <w:rStyle w:val="Hyperlink"/>
                  <w:sz w:val="17"/>
                  <w:szCs w:val="17"/>
                </w:rPr>
                <w:t>ESMA Public Statement on the risks for retail investors when trading in the highly uncertain market circumstances due to the pandemic</w:t>
              </w:r>
            </w:hyperlink>
          </w:p>
        </w:tc>
        <w:tc>
          <w:tcPr>
            <w:tcW w:w="1819" w:type="dxa"/>
            <w:shd w:val="clear" w:color="auto" w:fill="auto"/>
          </w:tcPr>
          <w:p w14:paraId="0AD2801C" w14:textId="77777777" w:rsidR="00003826" w:rsidRPr="00166D67" w:rsidRDefault="00003826" w:rsidP="00003826">
            <w:pPr>
              <w:jc w:val="left"/>
              <w:rPr>
                <w:sz w:val="17"/>
                <w:szCs w:val="17"/>
              </w:rPr>
            </w:pPr>
          </w:p>
        </w:tc>
        <w:tc>
          <w:tcPr>
            <w:tcW w:w="2155" w:type="dxa"/>
            <w:shd w:val="clear" w:color="auto" w:fill="auto"/>
          </w:tcPr>
          <w:p w14:paraId="48896B6B" w14:textId="73E1D7C5" w:rsidR="00003826" w:rsidRPr="00166D67" w:rsidRDefault="00003826" w:rsidP="00003826">
            <w:pPr>
              <w:jc w:val="left"/>
              <w:rPr>
                <w:sz w:val="17"/>
                <w:szCs w:val="17"/>
              </w:rPr>
            </w:pPr>
            <w:r w:rsidRPr="00166D67">
              <w:rPr>
                <w:sz w:val="17"/>
                <w:szCs w:val="17"/>
              </w:rPr>
              <w:t xml:space="preserve">Retail investors and investment firms </w:t>
            </w:r>
          </w:p>
        </w:tc>
        <w:tc>
          <w:tcPr>
            <w:tcW w:w="5523" w:type="dxa"/>
            <w:shd w:val="clear" w:color="auto" w:fill="auto"/>
          </w:tcPr>
          <w:p w14:paraId="01893CA0" w14:textId="77777777" w:rsidR="00003826" w:rsidRPr="00166D67" w:rsidRDefault="00003826" w:rsidP="00003826">
            <w:pPr>
              <w:jc w:val="left"/>
              <w:rPr>
                <w:rFonts w:asciiTheme="majorHAnsi" w:hAnsiTheme="majorHAnsi" w:cstheme="majorHAnsi"/>
                <w:sz w:val="17"/>
                <w:szCs w:val="17"/>
              </w:rPr>
            </w:pPr>
            <w:r w:rsidRPr="00166D67">
              <w:rPr>
                <w:rFonts w:asciiTheme="majorHAnsi" w:hAnsiTheme="majorHAnsi" w:cstheme="majorHAnsi"/>
                <w:sz w:val="17"/>
                <w:szCs w:val="17"/>
              </w:rPr>
              <w:t xml:space="preserve">ESMA has issued a public statement on the risks for retail investors when trading in the highly uncertain market circumstances due to the pandemic. </w:t>
            </w:r>
          </w:p>
          <w:p w14:paraId="08E766CC" w14:textId="77777777" w:rsidR="00003826" w:rsidRPr="00166D67" w:rsidRDefault="00003826" w:rsidP="00003826">
            <w:pPr>
              <w:jc w:val="left"/>
              <w:rPr>
                <w:rFonts w:asciiTheme="majorHAnsi" w:hAnsiTheme="majorHAnsi" w:cstheme="majorHAnsi"/>
                <w:sz w:val="17"/>
                <w:szCs w:val="17"/>
              </w:rPr>
            </w:pPr>
            <w:r w:rsidRPr="00166D67">
              <w:rPr>
                <w:rFonts w:asciiTheme="majorHAnsi" w:hAnsiTheme="majorHAnsi" w:cstheme="majorHAnsi"/>
                <w:sz w:val="17"/>
                <w:szCs w:val="17"/>
              </w:rPr>
              <w:t xml:space="preserve">Risks arise due to high market volatility and an increase in market, credit and liquidity risks. Accordingly, firms have even greater duties when providing investment or ancillary services to investors, especially when these investors are new to the market, or have limited investment knowledge or experience. </w:t>
            </w:r>
          </w:p>
          <w:p w14:paraId="5AEAB904" w14:textId="118784DD" w:rsidR="00003826" w:rsidRPr="00166D67" w:rsidRDefault="00003826" w:rsidP="00003826">
            <w:pPr>
              <w:jc w:val="left"/>
              <w:rPr>
                <w:rFonts w:asciiTheme="majorHAnsi" w:hAnsiTheme="majorHAnsi" w:cstheme="majorHAnsi"/>
                <w:sz w:val="17"/>
                <w:szCs w:val="17"/>
              </w:rPr>
            </w:pPr>
            <w:r w:rsidRPr="00166D67">
              <w:rPr>
                <w:rFonts w:asciiTheme="majorHAnsi" w:hAnsiTheme="majorHAnsi" w:cstheme="majorHAnsi"/>
                <w:sz w:val="17"/>
                <w:szCs w:val="17"/>
              </w:rPr>
              <w:t xml:space="preserve">ESMA reminds firms of their obligation to act in accordance with the best interests of their client. </w:t>
            </w:r>
          </w:p>
        </w:tc>
      </w:tr>
      <w:tr w:rsidR="00003826" w:rsidRPr="00166D67" w14:paraId="2B90F5DD" w14:textId="77777777" w:rsidTr="001701F9">
        <w:trPr>
          <w:cantSplit/>
        </w:trPr>
        <w:tc>
          <w:tcPr>
            <w:tcW w:w="1097" w:type="dxa"/>
            <w:shd w:val="clear" w:color="auto" w:fill="auto"/>
          </w:tcPr>
          <w:p w14:paraId="05C550F6" w14:textId="35D8715C" w:rsidR="00003826" w:rsidRPr="007F1827" w:rsidRDefault="00003826" w:rsidP="00003826">
            <w:pPr>
              <w:jc w:val="left"/>
              <w:rPr>
                <w:b/>
                <w:sz w:val="17"/>
                <w:szCs w:val="17"/>
              </w:rPr>
            </w:pPr>
            <w:r w:rsidRPr="007F1827">
              <w:rPr>
                <w:b/>
                <w:sz w:val="17"/>
                <w:szCs w:val="17"/>
              </w:rPr>
              <w:t>20 May 2020</w:t>
            </w:r>
          </w:p>
        </w:tc>
        <w:tc>
          <w:tcPr>
            <w:tcW w:w="1880" w:type="dxa"/>
            <w:shd w:val="clear" w:color="auto" w:fill="auto"/>
          </w:tcPr>
          <w:p w14:paraId="7DBFACD4" w14:textId="57E2926F" w:rsidR="00003826" w:rsidRPr="00166D67" w:rsidRDefault="00A324C3" w:rsidP="00003826">
            <w:pPr>
              <w:jc w:val="left"/>
              <w:rPr>
                <w:sz w:val="17"/>
                <w:szCs w:val="17"/>
              </w:rPr>
            </w:pPr>
            <w:hyperlink r:id="rId262" w:history="1">
              <w:r w:rsidR="00003826" w:rsidRPr="00166D67">
                <w:rPr>
                  <w:rStyle w:val="Hyperlink"/>
                  <w:sz w:val="17"/>
                  <w:szCs w:val="17"/>
                </w:rPr>
                <w:t>ESMA Public Statement on the implications of the COVID-19 outbreak on the half-yearly financial reports</w:t>
              </w:r>
            </w:hyperlink>
          </w:p>
        </w:tc>
        <w:tc>
          <w:tcPr>
            <w:tcW w:w="1819" w:type="dxa"/>
            <w:shd w:val="clear" w:color="auto" w:fill="auto"/>
          </w:tcPr>
          <w:p w14:paraId="3D563B73" w14:textId="77777777" w:rsidR="00003826" w:rsidRPr="00166D67" w:rsidRDefault="00003826" w:rsidP="00003826">
            <w:pPr>
              <w:jc w:val="left"/>
              <w:rPr>
                <w:sz w:val="17"/>
                <w:szCs w:val="17"/>
              </w:rPr>
            </w:pPr>
          </w:p>
        </w:tc>
        <w:tc>
          <w:tcPr>
            <w:tcW w:w="2155" w:type="dxa"/>
            <w:shd w:val="clear" w:color="auto" w:fill="auto"/>
          </w:tcPr>
          <w:p w14:paraId="30337D20" w14:textId="2937DC59" w:rsidR="00003826" w:rsidRPr="00166D67" w:rsidRDefault="00003826" w:rsidP="00003826">
            <w:pPr>
              <w:jc w:val="left"/>
              <w:rPr>
                <w:sz w:val="17"/>
                <w:szCs w:val="17"/>
              </w:rPr>
            </w:pPr>
            <w:r w:rsidRPr="00166D67">
              <w:rPr>
                <w:sz w:val="17"/>
                <w:szCs w:val="17"/>
              </w:rPr>
              <w:t>Corporates</w:t>
            </w:r>
          </w:p>
        </w:tc>
        <w:tc>
          <w:tcPr>
            <w:tcW w:w="5523" w:type="dxa"/>
            <w:shd w:val="clear" w:color="auto" w:fill="auto"/>
          </w:tcPr>
          <w:p w14:paraId="18A472D1" w14:textId="3746B392" w:rsidR="00003826" w:rsidRPr="00166D67" w:rsidRDefault="00003826" w:rsidP="00003826">
            <w:pPr>
              <w:jc w:val="left"/>
              <w:rPr>
                <w:rFonts w:asciiTheme="majorHAnsi" w:hAnsiTheme="majorHAnsi" w:cstheme="majorHAnsi"/>
                <w:sz w:val="17"/>
                <w:szCs w:val="17"/>
              </w:rPr>
            </w:pPr>
            <w:r w:rsidRPr="00166D67">
              <w:rPr>
                <w:rFonts w:asciiTheme="majorHAnsi" w:hAnsiTheme="majorHAnsi" w:cstheme="majorHAnsi"/>
                <w:sz w:val="17"/>
                <w:szCs w:val="17"/>
              </w:rPr>
              <w:t>ESMA has issued a public statement on the implications of COVID-19 on the half-yearly financial reports. It aims to promote transparency and consistent application of European requirements for the information provided in the half-yearly financial reports in light of COVID-19.</w:t>
            </w:r>
          </w:p>
          <w:p w14:paraId="42540001" w14:textId="5F0CFBBA" w:rsidR="00003826" w:rsidRPr="00166D67" w:rsidRDefault="00003826" w:rsidP="00003826">
            <w:pPr>
              <w:jc w:val="left"/>
              <w:rPr>
                <w:rFonts w:asciiTheme="majorHAnsi" w:hAnsiTheme="majorHAnsi" w:cstheme="majorHAnsi"/>
                <w:sz w:val="17"/>
                <w:szCs w:val="17"/>
              </w:rPr>
            </w:pPr>
            <w:r w:rsidRPr="00166D67">
              <w:rPr>
                <w:rFonts w:asciiTheme="majorHAnsi" w:hAnsiTheme="majorHAnsi" w:cstheme="majorHAnsi"/>
                <w:sz w:val="17"/>
                <w:szCs w:val="17"/>
              </w:rPr>
              <w:t xml:space="preserve">While ESMA recognises the impact of COVID-19 on business activity, it stresses that transparency is essential, and providing updated information is necessary for investors. Providing information on the identification of the principal risks and uncertainties to which issuers are exposed is also vital. ESMA encourages audit committees to enhance their supervisory role this year. </w:t>
            </w:r>
          </w:p>
        </w:tc>
      </w:tr>
      <w:tr w:rsidR="00003826" w:rsidRPr="00166D67" w14:paraId="1B00939B" w14:textId="77777777" w:rsidTr="001701F9">
        <w:trPr>
          <w:cantSplit/>
        </w:trPr>
        <w:tc>
          <w:tcPr>
            <w:tcW w:w="1097" w:type="dxa"/>
            <w:shd w:val="clear" w:color="auto" w:fill="auto"/>
          </w:tcPr>
          <w:p w14:paraId="73D48DB5" w14:textId="7A2146CB" w:rsidR="00003826" w:rsidRPr="007F1827" w:rsidRDefault="00003826" w:rsidP="00003826">
            <w:pPr>
              <w:jc w:val="left"/>
              <w:rPr>
                <w:b/>
                <w:sz w:val="17"/>
                <w:szCs w:val="17"/>
              </w:rPr>
            </w:pPr>
            <w:r w:rsidRPr="007F1827">
              <w:rPr>
                <w:b/>
                <w:sz w:val="17"/>
                <w:szCs w:val="17"/>
              </w:rPr>
              <w:t>9 June 2020</w:t>
            </w:r>
          </w:p>
        </w:tc>
        <w:tc>
          <w:tcPr>
            <w:tcW w:w="1880" w:type="dxa"/>
            <w:shd w:val="clear" w:color="auto" w:fill="auto"/>
          </w:tcPr>
          <w:p w14:paraId="3C4D44CD" w14:textId="1D44781F" w:rsidR="00003826" w:rsidRPr="00166D67" w:rsidRDefault="00A324C3" w:rsidP="00003826">
            <w:pPr>
              <w:jc w:val="left"/>
              <w:rPr>
                <w:sz w:val="17"/>
                <w:szCs w:val="17"/>
              </w:rPr>
            </w:pPr>
            <w:hyperlink r:id="rId263" w:history="1">
              <w:r w:rsidR="00003826" w:rsidRPr="00166D67">
                <w:rPr>
                  <w:rStyle w:val="Hyperlink"/>
                  <w:sz w:val="17"/>
                  <w:szCs w:val="17"/>
                </w:rPr>
                <w:t>ESMA extends deadline for responses to consultation on EMIR REFIT</w:t>
              </w:r>
            </w:hyperlink>
          </w:p>
        </w:tc>
        <w:tc>
          <w:tcPr>
            <w:tcW w:w="1819" w:type="dxa"/>
            <w:shd w:val="clear" w:color="auto" w:fill="auto"/>
          </w:tcPr>
          <w:p w14:paraId="7B55439C" w14:textId="77777777" w:rsidR="00003826" w:rsidRPr="00166D67" w:rsidRDefault="00003826" w:rsidP="00003826">
            <w:pPr>
              <w:jc w:val="left"/>
              <w:rPr>
                <w:sz w:val="17"/>
                <w:szCs w:val="17"/>
              </w:rPr>
            </w:pPr>
          </w:p>
        </w:tc>
        <w:tc>
          <w:tcPr>
            <w:tcW w:w="2155" w:type="dxa"/>
            <w:shd w:val="clear" w:color="auto" w:fill="auto"/>
          </w:tcPr>
          <w:p w14:paraId="110FC165" w14:textId="44EECFB8" w:rsidR="00003826" w:rsidRPr="00166D67" w:rsidRDefault="00003826" w:rsidP="00003826">
            <w:pPr>
              <w:jc w:val="left"/>
              <w:rPr>
                <w:sz w:val="17"/>
                <w:szCs w:val="17"/>
              </w:rPr>
            </w:pPr>
            <w:r w:rsidRPr="00166D67">
              <w:rPr>
                <w:sz w:val="17"/>
                <w:szCs w:val="17"/>
              </w:rPr>
              <w:t>Financial markets participants</w:t>
            </w:r>
          </w:p>
        </w:tc>
        <w:tc>
          <w:tcPr>
            <w:tcW w:w="5523" w:type="dxa"/>
            <w:shd w:val="clear" w:color="auto" w:fill="auto"/>
          </w:tcPr>
          <w:p w14:paraId="002B7083" w14:textId="77777777" w:rsidR="00003826" w:rsidRPr="00166D67" w:rsidRDefault="00003826" w:rsidP="00003826">
            <w:pPr>
              <w:jc w:val="left"/>
              <w:rPr>
                <w:sz w:val="17"/>
                <w:szCs w:val="17"/>
              </w:rPr>
            </w:pPr>
            <w:r w:rsidRPr="00166D67">
              <w:rPr>
                <w:sz w:val="17"/>
                <w:szCs w:val="17"/>
              </w:rPr>
              <w:t>ESMA extended the end of the consultation period on the technical standards on reporting, data quality, data access and registration of Trade Repositories under EMIR REFIT from 19 June 2020 to 3 July 2020 in light of COVID-19.</w:t>
            </w:r>
          </w:p>
          <w:p w14:paraId="247AEDC6" w14:textId="77777777" w:rsidR="00003826" w:rsidRPr="00166D67" w:rsidRDefault="00003826" w:rsidP="00003826">
            <w:pPr>
              <w:jc w:val="left"/>
              <w:rPr>
                <w:rFonts w:asciiTheme="majorHAnsi" w:hAnsiTheme="majorHAnsi" w:cstheme="majorHAnsi"/>
                <w:sz w:val="17"/>
                <w:szCs w:val="17"/>
              </w:rPr>
            </w:pPr>
          </w:p>
        </w:tc>
      </w:tr>
      <w:tr w:rsidR="00003826" w:rsidRPr="00166D67" w14:paraId="5ED43090" w14:textId="77777777" w:rsidTr="001701F9">
        <w:trPr>
          <w:cantSplit/>
        </w:trPr>
        <w:tc>
          <w:tcPr>
            <w:tcW w:w="1097" w:type="dxa"/>
            <w:shd w:val="clear" w:color="auto" w:fill="auto"/>
          </w:tcPr>
          <w:p w14:paraId="6F8DED30" w14:textId="7E035F34" w:rsidR="00003826" w:rsidRPr="007F1827" w:rsidRDefault="00003826" w:rsidP="00003826">
            <w:pPr>
              <w:jc w:val="left"/>
              <w:rPr>
                <w:b/>
                <w:sz w:val="17"/>
                <w:szCs w:val="17"/>
              </w:rPr>
            </w:pPr>
            <w:r w:rsidRPr="007F1827">
              <w:rPr>
                <w:b/>
                <w:sz w:val="17"/>
                <w:szCs w:val="17"/>
              </w:rPr>
              <w:t>11 June 2020</w:t>
            </w:r>
          </w:p>
        </w:tc>
        <w:tc>
          <w:tcPr>
            <w:tcW w:w="1880" w:type="dxa"/>
            <w:shd w:val="clear" w:color="auto" w:fill="auto"/>
          </w:tcPr>
          <w:p w14:paraId="32D13AC2" w14:textId="6A8DFC63" w:rsidR="00003826" w:rsidRPr="00166D67" w:rsidRDefault="00A324C3" w:rsidP="00003826">
            <w:pPr>
              <w:jc w:val="left"/>
              <w:rPr>
                <w:sz w:val="17"/>
                <w:szCs w:val="17"/>
              </w:rPr>
            </w:pPr>
            <w:hyperlink r:id="rId264" w:history="1">
              <w:r w:rsidR="00003826" w:rsidRPr="00166D67">
                <w:rPr>
                  <w:rStyle w:val="Hyperlink"/>
                  <w:sz w:val="17"/>
                  <w:szCs w:val="17"/>
                </w:rPr>
                <w:t>ESMA renews its Decision requiring net short position holders to report positions of 0.1% and above</w:t>
              </w:r>
            </w:hyperlink>
          </w:p>
        </w:tc>
        <w:tc>
          <w:tcPr>
            <w:tcW w:w="1819" w:type="dxa"/>
            <w:shd w:val="clear" w:color="auto" w:fill="auto"/>
          </w:tcPr>
          <w:p w14:paraId="1FC7E2BF" w14:textId="77777777" w:rsidR="00003826" w:rsidRPr="00166D67" w:rsidRDefault="00003826" w:rsidP="00003826">
            <w:pPr>
              <w:jc w:val="left"/>
              <w:rPr>
                <w:sz w:val="17"/>
                <w:szCs w:val="17"/>
              </w:rPr>
            </w:pPr>
          </w:p>
        </w:tc>
        <w:tc>
          <w:tcPr>
            <w:tcW w:w="2155" w:type="dxa"/>
            <w:shd w:val="clear" w:color="auto" w:fill="auto"/>
          </w:tcPr>
          <w:p w14:paraId="52526AB0" w14:textId="3B211A7A" w:rsidR="00003826" w:rsidRPr="00166D67" w:rsidRDefault="00003826" w:rsidP="00003826">
            <w:pPr>
              <w:jc w:val="left"/>
              <w:rPr>
                <w:sz w:val="17"/>
                <w:szCs w:val="17"/>
              </w:rPr>
            </w:pPr>
            <w:r w:rsidRPr="00166D67">
              <w:rPr>
                <w:sz w:val="17"/>
                <w:szCs w:val="17"/>
              </w:rPr>
              <w:t>Holders of net short positions in shares traded on an EU regulated market or MTF</w:t>
            </w:r>
          </w:p>
        </w:tc>
        <w:tc>
          <w:tcPr>
            <w:tcW w:w="5523" w:type="dxa"/>
            <w:shd w:val="clear" w:color="auto" w:fill="auto"/>
          </w:tcPr>
          <w:p w14:paraId="0D57EE0A" w14:textId="77777777" w:rsidR="00003826" w:rsidRPr="00166D67" w:rsidRDefault="00003826" w:rsidP="00003826">
            <w:pPr>
              <w:jc w:val="left"/>
              <w:rPr>
                <w:rFonts w:cs="Arial"/>
                <w:sz w:val="17"/>
                <w:szCs w:val="17"/>
              </w:rPr>
            </w:pPr>
            <w:r w:rsidRPr="00166D67">
              <w:rPr>
                <w:rFonts w:cs="Arial"/>
                <w:sz w:val="17"/>
                <w:szCs w:val="17"/>
              </w:rPr>
              <w:t xml:space="preserve">In light of the ongoing COVID-19 pandemic, ESMA renewed its Decision requiring net short position holders to report positions of 0.1% and above to national competent authorities. The Decision applies for an additional 3 months from 17 June 2020 to persons, natural or legal, irrespective of where they reside, and do not apply to shares admitted to or traded on a regulated market where the principal venue for trading the shares is a third country, market making or stabilisation activities. </w:t>
            </w:r>
          </w:p>
          <w:p w14:paraId="3ED3CFB5" w14:textId="77777777" w:rsidR="00003826" w:rsidRPr="00166D67" w:rsidRDefault="00003826" w:rsidP="00003826">
            <w:pPr>
              <w:jc w:val="left"/>
              <w:rPr>
                <w:sz w:val="17"/>
                <w:szCs w:val="17"/>
              </w:rPr>
            </w:pPr>
          </w:p>
        </w:tc>
      </w:tr>
      <w:tr w:rsidR="00003826" w:rsidRPr="00166D67" w14:paraId="2723C8CE" w14:textId="77777777" w:rsidTr="001701F9">
        <w:trPr>
          <w:cantSplit/>
        </w:trPr>
        <w:tc>
          <w:tcPr>
            <w:tcW w:w="1097" w:type="dxa"/>
            <w:shd w:val="clear" w:color="auto" w:fill="auto"/>
          </w:tcPr>
          <w:p w14:paraId="52B13209" w14:textId="6C938C27" w:rsidR="00003826" w:rsidRPr="007F1827" w:rsidRDefault="00003826" w:rsidP="00003826">
            <w:pPr>
              <w:jc w:val="left"/>
              <w:rPr>
                <w:b/>
                <w:sz w:val="17"/>
                <w:szCs w:val="17"/>
              </w:rPr>
            </w:pPr>
            <w:r w:rsidRPr="007F1827">
              <w:rPr>
                <w:b/>
                <w:sz w:val="17"/>
                <w:szCs w:val="17"/>
              </w:rPr>
              <w:t>11 June 2020</w:t>
            </w:r>
          </w:p>
        </w:tc>
        <w:tc>
          <w:tcPr>
            <w:tcW w:w="1880" w:type="dxa"/>
            <w:shd w:val="clear" w:color="auto" w:fill="auto"/>
          </w:tcPr>
          <w:p w14:paraId="72D9704A" w14:textId="6D85DDCC" w:rsidR="00003826" w:rsidRPr="00166D67" w:rsidRDefault="00A324C3" w:rsidP="00003826">
            <w:pPr>
              <w:jc w:val="left"/>
              <w:rPr>
                <w:sz w:val="17"/>
                <w:szCs w:val="17"/>
              </w:rPr>
            </w:pPr>
            <w:hyperlink r:id="rId265" w:history="1">
              <w:r w:rsidR="00003826" w:rsidRPr="00166D67">
                <w:rPr>
                  <w:rStyle w:val="Hyperlink"/>
                  <w:sz w:val="17"/>
                  <w:szCs w:val="17"/>
                </w:rPr>
                <w:t xml:space="preserve">ESMA Publishes Statement on </w:t>
              </w:r>
              <w:proofErr w:type="spellStart"/>
              <w:r w:rsidR="00003826" w:rsidRPr="00166D67">
                <w:rPr>
                  <w:rStyle w:val="Hyperlink"/>
                  <w:sz w:val="17"/>
                  <w:szCs w:val="17"/>
                </w:rPr>
                <w:t>MiFIR</w:t>
              </w:r>
              <w:proofErr w:type="spellEnd"/>
              <w:r w:rsidR="00003826" w:rsidRPr="00166D67">
                <w:rPr>
                  <w:rStyle w:val="Hyperlink"/>
                  <w:sz w:val="17"/>
                  <w:szCs w:val="17"/>
                </w:rPr>
                <w:t xml:space="preserve"> Open Access and COVID-19</w:t>
              </w:r>
            </w:hyperlink>
          </w:p>
        </w:tc>
        <w:tc>
          <w:tcPr>
            <w:tcW w:w="1819" w:type="dxa"/>
            <w:shd w:val="clear" w:color="auto" w:fill="auto"/>
          </w:tcPr>
          <w:p w14:paraId="1AB5ABBD" w14:textId="77777777" w:rsidR="00003826" w:rsidRPr="00166D67" w:rsidRDefault="00003826" w:rsidP="00003826">
            <w:pPr>
              <w:jc w:val="left"/>
              <w:rPr>
                <w:sz w:val="17"/>
                <w:szCs w:val="17"/>
              </w:rPr>
            </w:pPr>
          </w:p>
        </w:tc>
        <w:tc>
          <w:tcPr>
            <w:tcW w:w="2155" w:type="dxa"/>
            <w:shd w:val="clear" w:color="auto" w:fill="auto"/>
          </w:tcPr>
          <w:p w14:paraId="468A3805" w14:textId="1817B40A" w:rsidR="00003826" w:rsidRPr="00166D67" w:rsidRDefault="00003826" w:rsidP="00003826">
            <w:pPr>
              <w:jc w:val="left"/>
              <w:rPr>
                <w:sz w:val="17"/>
                <w:szCs w:val="17"/>
              </w:rPr>
            </w:pPr>
            <w:r w:rsidRPr="00166D67">
              <w:rPr>
                <w:sz w:val="17"/>
                <w:szCs w:val="17"/>
              </w:rPr>
              <w:t>Financial markets participants</w:t>
            </w:r>
          </w:p>
        </w:tc>
        <w:tc>
          <w:tcPr>
            <w:tcW w:w="5523" w:type="dxa"/>
            <w:shd w:val="clear" w:color="auto" w:fill="auto"/>
          </w:tcPr>
          <w:p w14:paraId="76DDC198" w14:textId="77777777" w:rsidR="00003826" w:rsidRPr="003E651E" w:rsidRDefault="00003826" w:rsidP="00003826">
            <w:pPr>
              <w:jc w:val="left"/>
              <w:rPr>
                <w:sz w:val="17"/>
                <w:szCs w:val="17"/>
              </w:rPr>
            </w:pPr>
            <w:r w:rsidRPr="003E651E">
              <w:rPr>
                <w:sz w:val="17"/>
                <w:szCs w:val="17"/>
              </w:rPr>
              <w:t>This statement, published on 11 June 2020, sets out the issues national competent authorities (</w:t>
            </w:r>
            <w:r w:rsidRPr="003E651E">
              <w:rPr>
                <w:b/>
                <w:sz w:val="17"/>
                <w:szCs w:val="17"/>
              </w:rPr>
              <w:t>NCAs</w:t>
            </w:r>
            <w:r w:rsidRPr="003E651E">
              <w:rPr>
                <w:sz w:val="17"/>
                <w:szCs w:val="17"/>
              </w:rPr>
              <w:t xml:space="preserve">) should consider when assessing OAP requests during the COVID-19 pandemic. ESMA outlines that NCAs need to consider the adverse impact of COVID-19 in terms of delays in assessing OAPs as well as its effect on central counterparties and trading venues. ESMA requires CCPs and TVs to have capacity once COVID-19 clears up to process access requests. The exemptions under </w:t>
            </w:r>
            <w:proofErr w:type="spellStart"/>
            <w:r w:rsidRPr="003E651E">
              <w:rPr>
                <w:sz w:val="17"/>
                <w:szCs w:val="17"/>
              </w:rPr>
              <w:t>MiFIR</w:t>
            </w:r>
            <w:proofErr w:type="spellEnd"/>
            <w:r w:rsidRPr="003E651E">
              <w:rPr>
                <w:sz w:val="17"/>
                <w:szCs w:val="17"/>
              </w:rPr>
              <w:t xml:space="preserve"> allowing NCAs to exempt TVs and CCPs from OAP for derivatives expires on 3 July 2020 and the OAP will apply from there on. </w:t>
            </w:r>
          </w:p>
          <w:p w14:paraId="4EFB2F1B" w14:textId="77777777" w:rsidR="00003826" w:rsidRPr="003E651E" w:rsidRDefault="00003826" w:rsidP="00003826">
            <w:pPr>
              <w:jc w:val="left"/>
              <w:rPr>
                <w:sz w:val="17"/>
                <w:szCs w:val="17"/>
              </w:rPr>
            </w:pPr>
          </w:p>
          <w:p w14:paraId="3F93E0CC" w14:textId="63CBEEC4" w:rsidR="00003826" w:rsidRPr="003E651E" w:rsidRDefault="00003826" w:rsidP="00003826">
            <w:pPr>
              <w:jc w:val="left"/>
              <w:rPr>
                <w:sz w:val="17"/>
                <w:szCs w:val="17"/>
              </w:rPr>
            </w:pPr>
            <w:r w:rsidRPr="003E651E">
              <w:rPr>
                <w:sz w:val="17"/>
                <w:szCs w:val="17"/>
              </w:rPr>
              <w:t xml:space="preserve">This statement has since been amended. See update below entitled "Update to ESMA Statement on </w:t>
            </w:r>
            <w:proofErr w:type="spellStart"/>
            <w:r w:rsidRPr="003E651E">
              <w:rPr>
                <w:sz w:val="17"/>
                <w:szCs w:val="17"/>
              </w:rPr>
              <w:t>MiFIR</w:t>
            </w:r>
            <w:proofErr w:type="spellEnd"/>
            <w:r w:rsidRPr="003E651E">
              <w:rPr>
                <w:sz w:val="17"/>
                <w:szCs w:val="17"/>
              </w:rPr>
              <w:t xml:space="preserve"> Open Access and COVID-19".</w:t>
            </w:r>
          </w:p>
        </w:tc>
      </w:tr>
      <w:tr w:rsidR="00003826" w:rsidRPr="00166D67" w14:paraId="69FB8322" w14:textId="77777777" w:rsidTr="001701F9">
        <w:trPr>
          <w:cantSplit/>
        </w:trPr>
        <w:tc>
          <w:tcPr>
            <w:tcW w:w="1097" w:type="dxa"/>
            <w:shd w:val="clear" w:color="auto" w:fill="auto"/>
          </w:tcPr>
          <w:p w14:paraId="58FEAAE7" w14:textId="29BC28AD" w:rsidR="00003826" w:rsidRPr="007F1827" w:rsidRDefault="00003826" w:rsidP="00003826">
            <w:pPr>
              <w:jc w:val="left"/>
              <w:rPr>
                <w:b/>
                <w:sz w:val="17"/>
                <w:szCs w:val="17"/>
              </w:rPr>
            </w:pPr>
            <w:r w:rsidRPr="007F1827">
              <w:rPr>
                <w:b/>
                <w:sz w:val="17"/>
                <w:szCs w:val="17"/>
              </w:rPr>
              <w:t>15 June 2020</w:t>
            </w:r>
          </w:p>
        </w:tc>
        <w:tc>
          <w:tcPr>
            <w:tcW w:w="1880" w:type="dxa"/>
            <w:shd w:val="clear" w:color="auto" w:fill="auto"/>
          </w:tcPr>
          <w:p w14:paraId="3CEF3410" w14:textId="07246624" w:rsidR="00003826" w:rsidRPr="00166D67" w:rsidRDefault="00A324C3" w:rsidP="00003826">
            <w:pPr>
              <w:jc w:val="left"/>
              <w:rPr>
                <w:color w:val="2CD5C4" w:themeColor="accent1"/>
                <w:sz w:val="17"/>
                <w:szCs w:val="17"/>
              </w:rPr>
            </w:pPr>
            <w:hyperlink r:id="rId266" w:history="1">
              <w:r w:rsidR="00003826" w:rsidRPr="00166D67">
                <w:rPr>
                  <w:rStyle w:val="Hyperlink"/>
                  <w:color w:val="2CD5C4" w:themeColor="accent1"/>
                  <w:sz w:val="17"/>
                  <w:szCs w:val="17"/>
                </w:rPr>
                <w:t>Revised annual work programme for 2020</w:t>
              </w:r>
            </w:hyperlink>
          </w:p>
        </w:tc>
        <w:tc>
          <w:tcPr>
            <w:tcW w:w="1819" w:type="dxa"/>
            <w:shd w:val="clear" w:color="auto" w:fill="auto"/>
          </w:tcPr>
          <w:p w14:paraId="3FAD2E71" w14:textId="77777777" w:rsidR="00003826" w:rsidRPr="00166D67" w:rsidRDefault="00003826" w:rsidP="00003826">
            <w:pPr>
              <w:jc w:val="left"/>
              <w:rPr>
                <w:sz w:val="17"/>
                <w:szCs w:val="17"/>
              </w:rPr>
            </w:pPr>
          </w:p>
        </w:tc>
        <w:tc>
          <w:tcPr>
            <w:tcW w:w="2155" w:type="dxa"/>
            <w:shd w:val="clear" w:color="auto" w:fill="auto"/>
          </w:tcPr>
          <w:p w14:paraId="71DB7CB7" w14:textId="6378C2C1" w:rsidR="00003826" w:rsidRPr="00166D67" w:rsidRDefault="00003826" w:rsidP="00003826">
            <w:pPr>
              <w:jc w:val="left"/>
              <w:rPr>
                <w:sz w:val="17"/>
                <w:szCs w:val="17"/>
              </w:rPr>
            </w:pPr>
            <w:r w:rsidRPr="00166D67">
              <w:rPr>
                <w:sz w:val="17"/>
                <w:szCs w:val="17"/>
              </w:rPr>
              <w:t>All Financial Markets Participants</w:t>
            </w:r>
          </w:p>
        </w:tc>
        <w:tc>
          <w:tcPr>
            <w:tcW w:w="5523" w:type="dxa"/>
            <w:shd w:val="clear" w:color="auto" w:fill="auto"/>
          </w:tcPr>
          <w:p w14:paraId="0C4C6641" w14:textId="51435248" w:rsidR="00003826" w:rsidRPr="003E651E" w:rsidRDefault="00003826" w:rsidP="00003826">
            <w:pPr>
              <w:jc w:val="left"/>
              <w:rPr>
                <w:sz w:val="17"/>
                <w:szCs w:val="17"/>
              </w:rPr>
            </w:pPr>
            <w:r w:rsidRPr="003E651E">
              <w:rPr>
                <w:sz w:val="17"/>
                <w:szCs w:val="17"/>
              </w:rPr>
              <w:t>In response to COVID-19, ESMA published its annual work programme in revised form, which reprioritises its work and deliverables in light of the pandemic</w:t>
            </w:r>
          </w:p>
        </w:tc>
      </w:tr>
      <w:tr w:rsidR="00003826" w:rsidRPr="00166D67" w14:paraId="3C57BA5B" w14:textId="77777777" w:rsidTr="001701F9">
        <w:trPr>
          <w:cantSplit/>
        </w:trPr>
        <w:tc>
          <w:tcPr>
            <w:tcW w:w="1097" w:type="dxa"/>
            <w:shd w:val="clear" w:color="auto" w:fill="auto"/>
          </w:tcPr>
          <w:p w14:paraId="4EF41CCD" w14:textId="4CE9A20D" w:rsidR="00003826" w:rsidRPr="007F1827" w:rsidRDefault="00003826" w:rsidP="00003826">
            <w:pPr>
              <w:jc w:val="left"/>
              <w:rPr>
                <w:b/>
                <w:sz w:val="17"/>
                <w:szCs w:val="17"/>
              </w:rPr>
            </w:pPr>
            <w:r w:rsidRPr="007F1827">
              <w:rPr>
                <w:b/>
                <w:sz w:val="17"/>
                <w:szCs w:val="17"/>
              </w:rPr>
              <w:t xml:space="preserve">29 June 2020 </w:t>
            </w:r>
          </w:p>
        </w:tc>
        <w:tc>
          <w:tcPr>
            <w:tcW w:w="1880" w:type="dxa"/>
            <w:shd w:val="clear" w:color="auto" w:fill="auto"/>
          </w:tcPr>
          <w:p w14:paraId="0601CFD9" w14:textId="7F37AE2D" w:rsidR="00003826" w:rsidRPr="00166D67" w:rsidRDefault="00A324C3" w:rsidP="00003826">
            <w:pPr>
              <w:jc w:val="left"/>
              <w:rPr>
                <w:sz w:val="17"/>
                <w:szCs w:val="17"/>
              </w:rPr>
            </w:pPr>
            <w:hyperlink r:id="rId267" w:history="1">
              <w:r w:rsidR="00003826" w:rsidRPr="00166D67">
                <w:rPr>
                  <w:rStyle w:val="Hyperlink"/>
                  <w:sz w:val="17"/>
                  <w:szCs w:val="17"/>
                </w:rPr>
                <w:t>Advice to ESMA – Own Initiative SMSG Report II on Covid-19 related Issues</w:t>
              </w:r>
            </w:hyperlink>
          </w:p>
        </w:tc>
        <w:tc>
          <w:tcPr>
            <w:tcW w:w="1819" w:type="dxa"/>
            <w:shd w:val="clear" w:color="auto" w:fill="auto"/>
          </w:tcPr>
          <w:p w14:paraId="0E8F767A" w14:textId="77777777" w:rsidR="00003826" w:rsidRPr="00166D67" w:rsidRDefault="00003826" w:rsidP="00003826">
            <w:pPr>
              <w:jc w:val="left"/>
              <w:rPr>
                <w:sz w:val="17"/>
                <w:szCs w:val="17"/>
              </w:rPr>
            </w:pPr>
          </w:p>
        </w:tc>
        <w:tc>
          <w:tcPr>
            <w:tcW w:w="2155" w:type="dxa"/>
            <w:shd w:val="clear" w:color="auto" w:fill="auto"/>
          </w:tcPr>
          <w:p w14:paraId="30C0D41A" w14:textId="1B3023F2" w:rsidR="00003826" w:rsidRPr="00166D67" w:rsidRDefault="00003826" w:rsidP="00003826">
            <w:pPr>
              <w:jc w:val="left"/>
              <w:rPr>
                <w:sz w:val="17"/>
                <w:szCs w:val="17"/>
              </w:rPr>
            </w:pPr>
            <w:r w:rsidRPr="00166D67">
              <w:rPr>
                <w:sz w:val="17"/>
                <w:szCs w:val="17"/>
              </w:rPr>
              <w:t>Financial Market Participants</w:t>
            </w:r>
          </w:p>
        </w:tc>
        <w:tc>
          <w:tcPr>
            <w:tcW w:w="5523" w:type="dxa"/>
            <w:shd w:val="clear" w:color="auto" w:fill="auto"/>
          </w:tcPr>
          <w:p w14:paraId="7095C29B" w14:textId="622EA651" w:rsidR="00003826" w:rsidRPr="00166D67" w:rsidRDefault="00003826" w:rsidP="00003826">
            <w:pPr>
              <w:jc w:val="left"/>
              <w:rPr>
                <w:sz w:val="17"/>
                <w:szCs w:val="17"/>
              </w:rPr>
            </w:pPr>
            <w:r w:rsidRPr="00166D67">
              <w:rPr>
                <w:sz w:val="17"/>
                <w:szCs w:val="17"/>
              </w:rPr>
              <w:t xml:space="preserve">On 29 June 2020, the Securities and Markets Stakeholder Group (SMSG) prepared an advice piece addressed to ESMA. It outlined a number of lessons learnt from the crisis and provided advice in the areas of asset management, the OTC-Derivatives markets, the functioning of debt capital markets, individual investors needing to support increasing participation in capital markets by promoting employee share ownership, corporate disclosure and the re-equitizing of the European economy to ensure future growth and employment. </w:t>
            </w:r>
          </w:p>
        </w:tc>
      </w:tr>
      <w:tr w:rsidR="00003826" w:rsidRPr="00166D67" w14:paraId="65C4C105" w14:textId="77777777" w:rsidTr="001701F9">
        <w:trPr>
          <w:cantSplit/>
        </w:trPr>
        <w:tc>
          <w:tcPr>
            <w:tcW w:w="1097" w:type="dxa"/>
            <w:shd w:val="clear" w:color="auto" w:fill="auto"/>
          </w:tcPr>
          <w:p w14:paraId="2CFA77AA" w14:textId="1C298CED" w:rsidR="00003826" w:rsidRPr="007F1827" w:rsidRDefault="00003826" w:rsidP="00003826">
            <w:pPr>
              <w:jc w:val="left"/>
              <w:rPr>
                <w:b/>
                <w:sz w:val="17"/>
                <w:szCs w:val="17"/>
              </w:rPr>
            </w:pPr>
            <w:r w:rsidRPr="007F1827">
              <w:rPr>
                <w:b/>
                <w:sz w:val="17"/>
                <w:szCs w:val="17"/>
              </w:rPr>
              <w:t>9 July 2020</w:t>
            </w:r>
          </w:p>
        </w:tc>
        <w:tc>
          <w:tcPr>
            <w:tcW w:w="1880" w:type="dxa"/>
            <w:shd w:val="clear" w:color="auto" w:fill="auto"/>
          </w:tcPr>
          <w:p w14:paraId="1FCD720D" w14:textId="3E478EAE" w:rsidR="00003826" w:rsidRPr="00166D67" w:rsidRDefault="00A324C3" w:rsidP="00003826">
            <w:pPr>
              <w:jc w:val="left"/>
              <w:rPr>
                <w:rFonts w:asciiTheme="majorHAnsi" w:hAnsiTheme="majorHAnsi" w:cstheme="majorHAnsi"/>
                <w:color w:val="2CD5C4" w:themeColor="accent1"/>
                <w:sz w:val="17"/>
                <w:szCs w:val="17"/>
              </w:rPr>
            </w:pPr>
            <w:hyperlink r:id="rId268" w:history="1">
              <w:r w:rsidR="00003826" w:rsidRPr="00166D67">
                <w:rPr>
                  <w:rStyle w:val="Hyperlink"/>
                  <w:rFonts w:asciiTheme="majorHAnsi" w:hAnsiTheme="majorHAnsi" w:cstheme="majorHAnsi"/>
                  <w:color w:val="2CD5C4" w:themeColor="accent1"/>
                  <w:sz w:val="17"/>
                  <w:szCs w:val="17"/>
                </w:rPr>
                <w:t>ESMA clarifies external support within the meaning of Article 35 of the MMF Regulation</w:t>
              </w:r>
            </w:hyperlink>
          </w:p>
        </w:tc>
        <w:tc>
          <w:tcPr>
            <w:tcW w:w="1819" w:type="dxa"/>
            <w:shd w:val="clear" w:color="auto" w:fill="auto"/>
          </w:tcPr>
          <w:p w14:paraId="279D2687" w14:textId="77777777" w:rsidR="00003826" w:rsidRPr="00166D67" w:rsidRDefault="00003826" w:rsidP="00003826">
            <w:pPr>
              <w:jc w:val="left"/>
              <w:rPr>
                <w:sz w:val="17"/>
                <w:szCs w:val="17"/>
              </w:rPr>
            </w:pPr>
          </w:p>
        </w:tc>
        <w:tc>
          <w:tcPr>
            <w:tcW w:w="2155" w:type="dxa"/>
            <w:shd w:val="clear" w:color="auto" w:fill="auto"/>
          </w:tcPr>
          <w:p w14:paraId="52DBDFA9" w14:textId="39B796EC" w:rsidR="00003826" w:rsidRPr="00166D67" w:rsidRDefault="00003826" w:rsidP="00003826">
            <w:pPr>
              <w:jc w:val="left"/>
              <w:rPr>
                <w:sz w:val="17"/>
                <w:szCs w:val="17"/>
              </w:rPr>
            </w:pPr>
            <w:r w:rsidRPr="00166D67">
              <w:rPr>
                <w:sz w:val="17"/>
                <w:szCs w:val="17"/>
              </w:rPr>
              <w:t>Money Market Funds</w:t>
            </w:r>
          </w:p>
        </w:tc>
        <w:tc>
          <w:tcPr>
            <w:tcW w:w="5523" w:type="dxa"/>
            <w:shd w:val="clear" w:color="auto" w:fill="auto"/>
          </w:tcPr>
          <w:p w14:paraId="58202F55" w14:textId="700DE431" w:rsidR="00003826" w:rsidRPr="00166D67" w:rsidRDefault="00003826" w:rsidP="00003826">
            <w:pPr>
              <w:jc w:val="left"/>
              <w:rPr>
                <w:sz w:val="17"/>
                <w:szCs w:val="17"/>
              </w:rPr>
            </w:pPr>
            <w:r w:rsidRPr="00166D67">
              <w:rPr>
                <w:sz w:val="17"/>
                <w:szCs w:val="17"/>
              </w:rPr>
              <w:t>ESMA issued a public statement to promote coordination between national competent authorities on the issue of the prohibition on providing external support to money market funds (</w:t>
            </w:r>
            <w:r w:rsidRPr="00166D67">
              <w:rPr>
                <w:b/>
                <w:sz w:val="17"/>
                <w:szCs w:val="17"/>
              </w:rPr>
              <w:t>MMF</w:t>
            </w:r>
            <w:r w:rsidRPr="00166D67">
              <w:rPr>
                <w:sz w:val="17"/>
                <w:szCs w:val="17"/>
              </w:rPr>
              <w:t xml:space="preserve">s) within the meaning of Article 31 of Regulation 1095/2010. ESMA clarified that MMFs may enter into transactions with third parties (including affiliated or related parties) provided the requirements of Article 35 of the MMF Regulation are met. </w:t>
            </w:r>
          </w:p>
        </w:tc>
      </w:tr>
      <w:tr w:rsidR="00003826" w:rsidRPr="00166D67" w14:paraId="6A87680C" w14:textId="77777777" w:rsidTr="001701F9">
        <w:trPr>
          <w:cantSplit/>
        </w:trPr>
        <w:tc>
          <w:tcPr>
            <w:tcW w:w="1097" w:type="dxa"/>
            <w:shd w:val="clear" w:color="auto" w:fill="auto"/>
          </w:tcPr>
          <w:p w14:paraId="4D726A46" w14:textId="0234367B" w:rsidR="00003826" w:rsidRPr="007F1827" w:rsidRDefault="00003826" w:rsidP="00003826">
            <w:pPr>
              <w:jc w:val="left"/>
              <w:rPr>
                <w:b/>
                <w:sz w:val="17"/>
                <w:szCs w:val="17"/>
              </w:rPr>
            </w:pPr>
            <w:r w:rsidRPr="007F1827">
              <w:rPr>
                <w:b/>
                <w:sz w:val="17"/>
                <w:szCs w:val="17"/>
              </w:rPr>
              <w:t>21 July 2020</w:t>
            </w:r>
          </w:p>
        </w:tc>
        <w:tc>
          <w:tcPr>
            <w:tcW w:w="1880" w:type="dxa"/>
            <w:shd w:val="clear" w:color="auto" w:fill="auto"/>
          </w:tcPr>
          <w:p w14:paraId="3963F06C" w14:textId="7A1229A2" w:rsidR="00003826" w:rsidRPr="00166D67" w:rsidRDefault="00A324C3" w:rsidP="00003826">
            <w:pPr>
              <w:jc w:val="left"/>
              <w:rPr>
                <w:sz w:val="17"/>
                <w:szCs w:val="17"/>
              </w:rPr>
            </w:pPr>
            <w:hyperlink r:id="rId269" w:history="1">
              <w:r w:rsidR="00003826" w:rsidRPr="00166D67">
                <w:rPr>
                  <w:rStyle w:val="Hyperlink"/>
                  <w:sz w:val="17"/>
                  <w:szCs w:val="17"/>
                </w:rPr>
                <w:t>ESMA recommends supervisory coordination on accounting for Covid-19 related rent concessions</w:t>
              </w:r>
            </w:hyperlink>
          </w:p>
        </w:tc>
        <w:tc>
          <w:tcPr>
            <w:tcW w:w="1819" w:type="dxa"/>
            <w:shd w:val="clear" w:color="auto" w:fill="auto"/>
          </w:tcPr>
          <w:p w14:paraId="4A0B35C7" w14:textId="77777777" w:rsidR="00003826" w:rsidRPr="00166D67" w:rsidRDefault="00003826" w:rsidP="00003826">
            <w:pPr>
              <w:jc w:val="left"/>
              <w:rPr>
                <w:sz w:val="17"/>
                <w:szCs w:val="17"/>
              </w:rPr>
            </w:pPr>
          </w:p>
        </w:tc>
        <w:tc>
          <w:tcPr>
            <w:tcW w:w="2155" w:type="dxa"/>
            <w:shd w:val="clear" w:color="auto" w:fill="auto"/>
          </w:tcPr>
          <w:p w14:paraId="2B1AE544" w14:textId="55CBC48E" w:rsidR="00003826" w:rsidRPr="00166D67" w:rsidRDefault="00003826" w:rsidP="00003826">
            <w:pPr>
              <w:jc w:val="left"/>
              <w:rPr>
                <w:sz w:val="17"/>
                <w:szCs w:val="17"/>
              </w:rPr>
            </w:pPr>
            <w:r w:rsidRPr="00166D67">
              <w:rPr>
                <w:sz w:val="17"/>
                <w:szCs w:val="17"/>
              </w:rPr>
              <w:t>Corporates</w:t>
            </w:r>
          </w:p>
        </w:tc>
        <w:tc>
          <w:tcPr>
            <w:tcW w:w="5523" w:type="dxa"/>
            <w:shd w:val="clear" w:color="auto" w:fill="auto"/>
          </w:tcPr>
          <w:p w14:paraId="41DA309A" w14:textId="04E000B6" w:rsidR="00003826" w:rsidRPr="00166D67" w:rsidRDefault="00003826" w:rsidP="00003826">
            <w:pPr>
              <w:jc w:val="left"/>
              <w:rPr>
                <w:sz w:val="17"/>
                <w:szCs w:val="17"/>
              </w:rPr>
            </w:pPr>
            <w:r w:rsidRPr="00166D67">
              <w:rPr>
                <w:sz w:val="17"/>
                <w:szCs w:val="17"/>
              </w:rPr>
              <w:t xml:space="preserve">ESMA issued a public statement recommending coordination of supervisory action to issuers' accounting for COVID-19 related rent concessions. The International Accounting Standards Board issued an amendment to IFRS 16 providing a practical relief for lessees in May 2020. ESMA recommends that national competent authorities do not prioritise supervisory actions related to IFRS 16, provided the European Parliament and the Council do not object to the endorsement of the IFRS 16 amendment. </w:t>
            </w:r>
          </w:p>
        </w:tc>
      </w:tr>
      <w:tr w:rsidR="00003826" w:rsidRPr="00166D67" w14:paraId="602664B9" w14:textId="77777777" w:rsidTr="001701F9">
        <w:trPr>
          <w:cantSplit/>
        </w:trPr>
        <w:tc>
          <w:tcPr>
            <w:tcW w:w="1097" w:type="dxa"/>
            <w:shd w:val="clear" w:color="auto" w:fill="auto"/>
          </w:tcPr>
          <w:p w14:paraId="499921F7" w14:textId="293299B9" w:rsidR="00003826" w:rsidRPr="007F1827" w:rsidRDefault="00003826" w:rsidP="00003826">
            <w:pPr>
              <w:jc w:val="left"/>
              <w:rPr>
                <w:b/>
                <w:sz w:val="17"/>
                <w:szCs w:val="17"/>
              </w:rPr>
            </w:pPr>
            <w:r w:rsidRPr="007F1827">
              <w:rPr>
                <w:b/>
                <w:sz w:val="17"/>
                <w:szCs w:val="17"/>
              </w:rPr>
              <w:t>27 August 2020</w:t>
            </w:r>
          </w:p>
        </w:tc>
        <w:tc>
          <w:tcPr>
            <w:tcW w:w="1880" w:type="dxa"/>
            <w:shd w:val="clear" w:color="auto" w:fill="auto"/>
          </w:tcPr>
          <w:p w14:paraId="12B8CB83" w14:textId="6314D693" w:rsidR="00003826" w:rsidRPr="00166D67" w:rsidRDefault="00A324C3" w:rsidP="00003826">
            <w:pPr>
              <w:jc w:val="left"/>
              <w:rPr>
                <w:sz w:val="17"/>
                <w:szCs w:val="17"/>
              </w:rPr>
            </w:pPr>
            <w:hyperlink r:id="rId270" w:history="1">
              <w:r w:rsidR="00003826" w:rsidRPr="00166D67">
                <w:rPr>
                  <w:rStyle w:val="Hyperlink"/>
                  <w:sz w:val="17"/>
                  <w:szCs w:val="17"/>
                </w:rPr>
                <w:t>Risk parameters in ESMA's guidelines on stress test scenarios under the money markets fund regulation to be updated</w:t>
              </w:r>
            </w:hyperlink>
          </w:p>
        </w:tc>
        <w:tc>
          <w:tcPr>
            <w:tcW w:w="1819" w:type="dxa"/>
            <w:shd w:val="clear" w:color="auto" w:fill="auto"/>
          </w:tcPr>
          <w:p w14:paraId="56641EB4" w14:textId="77777777" w:rsidR="00003826" w:rsidRPr="00166D67" w:rsidRDefault="00003826" w:rsidP="00003826">
            <w:pPr>
              <w:jc w:val="left"/>
              <w:rPr>
                <w:sz w:val="17"/>
                <w:szCs w:val="17"/>
              </w:rPr>
            </w:pPr>
          </w:p>
        </w:tc>
        <w:tc>
          <w:tcPr>
            <w:tcW w:w="2155" w:type="dxa"/>
            <w:shd w:val="clear" w:color="auto" w:fill="auto"/>
          </w:tcPr>
          <w:p w14:paraId="59FACF7B" w14:textId="29B9F63E" w:rsidR="00003826" w:rsidRPr="00166D67" w:rsidRDefault="00003826" w:rsidP="00003826">
            <w:pPr>
              <w:jc w:val="left"/>
              <w:rPr>
                <w:sz w:val="17"/>
                <w:szCs w:val="17"/>
              </w:rPr>
            </w:pPr>
            <w:r w:rsidRPr="00166D67">
              <w:rPr>
                <w:sz w:val="17"/>
                <w:szCs w:val="17"/>
              </w:rPr>
              <w:t>Financial Market Participants</w:t>
            </w:r>
          </w:p>
        </w:tc>
        <w:tc>
          <w:tcPr>
            <w:tcW w:w="5523" w:type="dxa"/>
            <w:shd w:val="clear" w:color="auto" w:fill="auto"/>
          </w:tcPr>
          <w:p w14:paraId="05F697B3" w14:textId="100F907A" w:rsidR="00003826" w:rsidRPr="00166D67" w:rsidRDefault="00003826" w:rsidP="00003826">
            <w:pPr>
              <w:jc w:val="left"/>
              <w:rPr>
                <w:sz w:val="17"/>
                <w:szCs w:val="17"/>
              </w:rPr>
            </w:pPr>
            <w:r w:rsidRPr="00166D67">
              <w:rPr>
                <w:sz w:val="17"/>
                <w:szCs w:val="17"/>
              </w:rPr>
              <w:t xml:space="preserve">ESMA has confirmed that the 2019 Guidelines on stress test scenarios under the Money Market Funds Regulation will be updated in 2020 to include a modification of the risk parameters to reflect recent market developments in light of the COVID-19 crisis. The 2019 Guidelines continue to apply until the 2020 update has been implemented in Q4. </w:t>
            </w:r>
          </w:p>
        </w:tc>
      </w:tr>
      <w:tr w:rsidR="00003826" w:rsidRPr="00166D67" w14:paraId="6C81DD87" w14:textId="77777777" w:rsidTr="001701F9">
        <w:trPr>
          <w:cantSplit/>
        </w:trPr>
        <w:tc>
          <w:tcPr>
            <w:tcW w:w="1097" w:type="dxa"/>
            <w:shd w:val="clear" w:color="auto" w:fill="auto"/>
          </w:tcPr>
          <w:p w14:paraId="3419D460" w14:textId="6A29841A" w:rsidR="00003826" w:rsidRPr="007F1827" w:rsidRDefault="00003826" w:rsidP="00003826">
            <w:pPr>
              <w:jc w:val="left"/>
              <w:rPr>
                <w:b/>
                <w:sz w:val="17"/>
                <w:szCs w:val="17"/>
              </w:rPr>
            </w:pPr>
            <w:r w:rsidRPr="007F1827">
              <w:rPr>
                <w:b/>
                <w:sz w:val="17"/>
                <w:szCs w:val="17"/>
              </w:rPr>
              <w:t>28 August 2020</w:t>
            </w:r>
          </w:p>
        </w:tc>
        <w:tc>
          <w:tcPr>
            <w:tcW w:w="1880" w:type="dxa"/>
            <w:shd w:val="clear" w:color="auto" w:fill="auto"/>
          </w:tcPr>
          <w:p w14:paraId="5DF5419D" w14:textId="44A0036A" w:rsidR="00003826" w:rsidRPr="00166D67" w:rsidRDefault="00A324C3" w:rsidP="00003826">
            <w:pPr>
              <w:jc w:val="left"/>
              <w:rPr>
                <w:sz w:val="17"/>
                <w:szCs w:val="17"/>
              </w:rPr>
            </w:pPr>
            <w:hyperlink r:id="rId271" w:history="1">
              <w:r w:rsidR="00003826" w:rsidRPr="00166D67">
                <w:rPr>
                  <w:rStyle w:val="Hyperlink"/>
                  <w:sz w:val="17"/>
                  <w:szCs w:val="17"/>
                </w:rPr>
                <w:t>ESMA proposes to further postpone CSDR settlement discipline</w:t>
              </w:r>
            </w:hyperlink>
            <w:r w:rsidR="00003826" w:rsidRPr="00166D67">
              <w:rPr>
                <w:sz w:val="17"/>
                <w:szCs w:val="17"/>
              </w:rPr>
              <w:t xml:space="preserve"> </w:t>
            </w:r>
          </w:p>
        </w:tc>
        <w:tc>
          <w:tcPr>
            <w:tcW w:w="1819" w:type="dxa"/>
            <w:shd w:val="clear" w:color="auto" w:fill="auto"/>
          </w:tcPr>
          <w:p w14:paraId="24E2FC9A" w14:textId="77777777" w:rsidR="00003826" w:rsidRPr="00166D67" w:rsidRDefault="00003826" w:rsidP="00003826">
            <w:pPr>
              <w:jc w:val="left"/>
              <w:rPr>
                <w:sz w:val="17"/>
                <w:szCs w:val="17"/>
              </w:rPr>
            </w:pPr>
          </w:p>
        </w:tc>
        <w:tc>
          <w:tcPr>
            <w:tcW w:w="2155" w:type="dxa"/>
            <w:shd w:val="clear" w:color="auto" w:fill="auto"/>
          </w:tcPr>
          <w:p w14:paraId="33016E3F" w14:textId="7B556336" w:rsidR="00003826" w:rsidRPr="00166D67" w:rsidRDefault="00003826" w:rsidP="00003826">
            <w:pPr>
              <w:jc w:val="left"/>
              <w:rPr>
                <w:sz w:val="17"/>
                <w:szCs w:val="17"/>
              </w:rPr>
            </w:pPr>
            <w:r w:rsidRPr="00166D67">
              <w:rPr>
                <w:sz w:val="17"/>
                <w:szCs w:val="17"/>
              </w:rPr>
              <w:t>Financial Market Participants</w:t>
            </w:r>
          </w:p>
        </w:tc>
        <w:tc>
          <w:tcPr>
            <w:tcW w:w="5523" w:type="dxa"/>
            <w:shd w:val="clear" w:color="auto" w:fill="auto"/>
          </w:tcPr>
          <w:p w14:paraId="58EF399B" w14:textId="086CCFD9" w:rsidR="00003826" w:rsidRPr="00166D67" w:rsidRDefault="00003826" w:rsidP="00003826">
            <w:pPr>
              <w:jc w:val="left"/>
              <w:rPr>
                <w:sz w:val="17"/>
                <w:szCs w:val="17"/>
              </w:rPr>
            </w:pPr>
            <w:r w:rsidRPr="00166D67">
              <w:rPr>
                <w:sz w:val="17"/>
                <w:szCs w:val="17"/>
              </w:rPr>
              <w:t>Due to the impact of the COVID-19 pandemic on the implementation of regulatory projects and IT Deliveries by the Central Securities Depositaries, ESMA has published a final report on draft regulatory technical standards (</w:t>
            </w:r>
            <w:r w:rsidRPr="00166D67">
              <w:rPr>
                <w:b/>
                <w:sz w:val="17"/>
                <w:szCs w:val="17"/>
              </w:rPr>
              <w:t>RTS</w:t>
            </w:r>
            <w:r w:rsidRPr="00166D67">
              <w:rPr>
                <w:sz w:val="17"/>
                <w:szCs w:val="17"/>
              </w:rPr>
              <w:t xml:space="preserve">) postponing the date of entry into force of the Commission Delegated Regulation (EU) 2018/1229 (RTS on settlement discipline) until 1 February 2022. </w:t>
            </w:r>
          </w:p>
        </w:tc>
      </w:tr>
      <w:tr w:rsidR="00003826" w:rsidRPr="00166D67" w14:paraId="539B9B6E" w14:textId="77777777" w:rsidTr="001701F9">
        <w:trPr>
          <w:cantSplit/>
        </w:trPr>
        <w:tc>
          <w:tcPr>
            <w:tcW w:w="1097" w:type="dxa"/>
            <w:shd w:val="clear" w:color="auto" w:fill="auto"/>
          </w:tcPr>
          <w:p w14:paraId="7111BE2D" w14:textId="4BD4ECD2" w:rsidR="00003826" w:rsidRPr="007F1827" w:rsidRDefault="00003826" w:rsidP="00003826">
            <w:pPr>
              <w:jc w:val="left"/>
              <w:rPr>
                <w:b/>
                <w:sz w:val="17"/>
                <w:szCs w:val="17"/>
              </w:rPr>
            </w:pPr>
            <w:r w:rsidRPr="007F1827">
              <w:rPr>
                <w:b/>
                <w:sz w:val="17"/>
                <w:szCs w:val="17"/>
              </w:rPr>
              <w:t>2 September 2020</w:t>
            </w:r>
          </w:p>
        </w:tc>
        <w:tc>
          <w:tcPr>
            <w:tcW w:w="1880" w:type="dxa"/>
            <w:shd w:val="clear" w:color="auto" w:fill="auto"/>
          </w:tcPr>
          <w:p w14:paraId="50B9B603" w14:textId="57938A01" w:rsidR="00003826" w:rsidRPr="00166D67" w:rsidRDefault="00A324C3" w:rsidP="00003826">
            <w:pPr>
              <w:jc w:val="left"/>
              <w:rPr>
                <w:sz w:val="17"/>
                <w:szCs w:val="17"/>
              </w:rPr>
            </w:pPr>
            <w:hyperlink r:id="rId272" w:history="1">
              <w:r w:rsidR="00003826" w:rsidRPr="00166D67">
                <w:rPr>
                  <w:rStyle w:val="Hyperlink"/>
                  <w:sz w:val="17"/>
                  <w:szCs w:val="17"/>
                </w:rPr>
                <w:t>ESMA sees high risk of decoupling of financial market performance and underlying economic activity</w:t>
              </w:r>
            </w:hyperlink>
          </w:p>
        </w:tc>
        <w:tc>
          <w:tcPr>
            <w:tcW w:w="1819" w:type="dxa"/>
            <w:shd w:val="clear" w:color="auto" w:fill="auto"/>
          </w:tcPr>
          <w:p w14:paraId="7F88800E" w14:textId="77777777" w:rsidR="00003826" w:rsidRPr="00166D67" w:rsidRDefault="00003826" w:rsidP="00003826">
            <w:pPr>
              <w:jc w:val="left"/>
              <w:rPr>
                <w:sz w:val="17"/>
                <w:szCs w:val="17"/>
              </w:rPr>
            </w:pPr>
          </w:p>
        </w:tc>
        <w:tc>
          <w:tcPr>
            <w:tcW w:w="2155" w:type="dxa"/>
            <w:shd w:val="clear" w:color="auto" w:fill="auto"/>
          </w:tcPr>
          <w:p w14:paraId="32A599AA" w14:textId="11DADF0D" w:rsidR="00003826" w:rsidRPr="00166D67" w:rsidRDefault="00003826" w:rsidP="00003826">
            <w:pPr>
              <w:jc w:val="left"/>
              <w:rPr>
                <w:sz w:val="17"/>
                <w:szCs w:val="17"/>
              </w:rPr>
            </w:pPr>
            <w:r w:rsidRPr="00166D67">
              <w:rPr>
                <w:sz w:val="17"/>
                <w:szCs w:val="17"/>
              </w:rPr>
              <w:t>Financial Market Participants</w:t>
            </w:r>
          </w:p>
        </w:tc>
        <w:tc>
          <w:tcPr>
            <w:tcW w:w="5523" w:type="dxa"/>
            <w:shd w:val="clear" w:color="auto" w:fill="auto"/>
          </w:tcPr>
          <w:p w14:paraId="1604DCE9" w14:textId="7E954C51" w:rsidR="00003826" w:rsidRPr="00166D67" w:rsidRDefault="00003826" w:rsidP="00003826">
            <w:pPr>
              <w:jc w:val="left"/>
              <w:rPr>
                <w:sz w:val="17"/>
                <w:szCs w:val="17"/>
              </w:rPr>
            </w:pPr>
            <w:r w:rsidRPr="00166D67">
              <w:rPr>
                <w:sz w:val="17"/>
                <w:szCs w:val="17"/>
              </w:rPr>
              <w:t>ESMA published its second Trends, Risks and Vulnerabilities (</w:t>
            </w:r>
            <w:r w:rsidRPr="00166D67">
              <w:rPr>
                <w:b/>
                <w:sz w:val="17"/>
                <w:szCs w:val="17"/>
              </w:rPr>
              <w:t>TRV</w:t>
            </w:r>
            <w:r w:rsidRPr="00166D67">
              <w:rPr>
                <w:sz w:val="17"/>
                <w:szCs w:val="17"/>
              </w:rPr>
              <w:t xml:space="preserve">) Report of 2020. The report analyses the impact of COVID-19 on financial markets for Q1 and Q2 of 2020 and addresses the risk of a potential decoupling of financial market performance and underlying economic activity questioning the sustainability of the current market rebound. The Report also highlights a number of key risks for financial stability and investors. </w:t>
            </w:r>
          </w:p>
        </w:tc>
      </w:tr>
      <w:tr w:rsidR="00003826" w:rsidRPr="003E651E" w14:paraId="6F2948FA" w14:textId="77777777" w:rsidTr="003E651E">
        <w:trPr>
          <w:cantSplit/>
        </w:trPr>
        <w:tc>
          <w:tcPr>
            <w:tcW w:w="1097" w:type="dxa"/>
            <w:shd w:val="clear" w:color="auto" w:fill="auto"/>
          </w:tcPr>
          <w:p w14:paraId="3E93CAAA" w14:textId="50BF39DF" w:rsidR="00003826" w:rsidRPr="003E651E" w:rsidRDefault="00003826" w:rsidP="00003826">
            <w:pPr>
              <w:jc w:val="left"/>
              <w:rPr>
                <w:b/>
                <w:sz w:val="17"/>
                <w:szCs w:val="17"/>
              </w:rPr>
            </w:pPr>
            <w:r w:rsidRPr="003E651E">
              <w:rPr>
                <w:b/>
                <w:sz w:val="17"/>
                <w:szCs w:val="17"/>
              </w:rPr>
              <w:t>28 October 2020</w:t>
            </w:r>
          </w:p>
        </w:tc>
        <w:tc>
          <w:tcPr>
            <w:tcW w:w="1880" w:type="dxa"/>
            <w:shd w:val="clear" w:color="auto" w:fill="auto"/>
          </w:tcPr>
          <w:p w14:paraId="46D2C3AF" w14:textId="03E47BF7" w:rsidR="00003826" w:rsidRPr="003E651E" w:rsidRDefault="00A324C3" w:rsidP="00003826">
            <w:pPr>
              <w:jc w:val="left"/>
              <w:rPr>
                <w:sz w:val="17"/>
                <w:szCs w:val="17"/>
              </w:rPr>
            </w:pPr>
            <w:hyperlink r:id="rId273" w:history="1">
              <w:r w:rsidR="00003826" w:rsidRPr="003E651E">
                <w:rPr>
                  <w:rStyle w:val="Hyperlink"/>
                  <w:sz w:val="17"/>
                  <w:szCs w:val="17"/>
                </w:rPr>
                <w:t>European accounting enforcers to enhance transparency on COVID-1 impact</w:t>
              </w:r>
            </w:hyperlink>
          </w:p>
        </w:tc>
        <w:tc>
          <w:tcPr>
            <w:tcW w:w="1819" w:type="dxa"/>
            <w:shd w:val="clear" w:color="auto" w:fill="auto"/>
          </w:tcPr>
          <w:p w14:paraId="1EA9E7F1" w14:textId="77777777" w:rsidR="00003826" w:rsidRPr="003E651E" w:rsidRDefault="00003826" w:rsidP="00003826">
            <w:pPr>
              <w:jc w:val="left"/>
              <w:rPr>
                <w:sz w:val="17"/>
                <w:szCs w:val="17"/>
              </w:rPr>
            </w:pPr>
          </w:p>
        </w:tc>
        <w:tc>
          <w:tcPr>
            <w:tcW w:w="2155" w:type="dxa"/>
            <w:shd w:val="clear" w:color="auto" w:fill="auto"/>
          </w:tcPr>
          <w:p w14:paraId="7733DA72" w14:textId="34FF71C8" w:rsidR="00003826" w:rsidRPr="003E651E" w:rsidRDefault="00003826" w:rsidP="00003826">
            <w:pPr>
              <w:jc w:val="left"/>
              <w:rPr>
                <w:sz w:val="17"/>
                <w:szCs w:val="17"/>
              </w:rPr>
            </w:pPr>
            <w:r w:rsidRPr="003E651E">
              <w:rPr>
                <w:sz w:val="17"/>
                <w:szCs w:val="17"/>
              </w:rPr>
              <w:t>Listed Companies</w:t>
            </w:r>
          </w:p>
        </w:tc>
        <w:tc>
          <w:tcPr>
            <w:tcW w:w="5523" w:type="dxa"/>
            <w:shd w:val="clear" w:color="auto" w:fill="auto"/>
          </w:tcPr>
          <w:p w14:paraId="2F8FB11D" w14:textId="77777777" w:rsidR="00003826" w:rsidRPr="003E651E" w:rsidRDefault="00003826" w:rsidP="00003826">
            <w:pPr>
              <w:jc w:val="left"/>
              <w:rPr>
                <w:sz w:val="17"/>
                <w:szCs w:val="17"/>
              </w:rPr>
            </w:pPr>
            <w:r w:rsidRPr="003E651E">
              <w:rPr>
                <w:sz w:val="17"/>
                <w:szCs w:val="17"/>
              </w:rPr>
              <w:t xml:space="preserve">On 28 October 2020, ESMA issued its </w:t>
            </w:r>
            <w:hyperlink r:id="rId274" w:history="1">
              <w:r w:rsidRPr="003E651E">
                <w:rPr>
                  <w:rStyle w:val="Hyperlink"/>
                  <w:sz w:val="17"/>
                  <w:szCs w:val="17"/>
                </w:rPr>
                <w:t>Public Statement on European Common Enforcement Priorities</w:t>
              </w:r>
            </w:hyperlink>
            <w:r w:rsidRPr="003E651E">
              <w:rPr>
                <w:sz w:val="17"/>
                <w:szCs w:val="17"/>
              </w:rPr>
              <w:t xml:space="preserve">. This sets out the priorities that EEA corporate reporting enforcers will consider when examining the 2020 annual financial reports of listed companies. The priorities reflect the need to provide adequate transparency in respect of the impact of COVID-19 on the company for financial and non-financial matters so as to preserve market confidence and contribute to financial stability. Listed companies should also provide disclosures on the impact </w:t>
            </w:r>
            <w:proofErr w:type="spellStart"/>
            <w:r w:rsidRPr="003E651E">
              <w:rPr>
                <w:sz w:val="17"/>
                <w:szCs w:val="17"/>
              </w:rPr>
              <w:t>Brexit</w:t>
            </w:r>
            <w:proofErr w:type="spellEnd"/>
            <w:r w:rsidRPr="003E651E">
              <w:rPr>
                <w:sz w:val="17"/>
                <w:szCs w:val="17"/>
              </w:rPr>
              <w:t xml:space="preserve"> will have on the issuer's activities.</w:t>
            </w:r>
          </w:p>
          <w:p w14:paraId="1B5035B6" w14:textId="523EFB51" w:rsidR="00003826" w:rsidRPr="003E651E" w:rsidRDefault="00003826" w:rsidP="00003826">
            <w:pPr>
              <w:jc w:val="left"/>
              <w:rPr>
                <w:sz w:val="17"/>
                <w:szCs w:val="17"/>
              </w:rPr>
            </w:pPr>
            <w:r w:rsidRPr="003E651E">
              <w:rPr>
                <w:sz w:val="17"/>
                <w:szCs w:val="17"/>
              </w:rPr>
              <w:t xml:space="preserve">ESMA will be collating data on how European listed entities apply these priorities and will report its findings in its Report on the 2021 enforcement activities.  </w:t>
            </w:r>
          </w:p>
        </w:tc>
      </w:tr>
      <w:tr w:rsidR="00003826" w:rsidRPr="003E651E" w14:paraId="1DFD4A93" w14:textId="77777777" w:rsidTr="003E651E">
        <w:trPr>
          <w:cantSplit/>
        </w:trPr>
        <w:tc>
          <w:tcPr>
            <w:tcW w:w="1097" w:type="dxa"/>
            <w:shd w:val="clear" w:color="auto" w:fill="auto"/>
          </w:tcPr>
          <w:p w14:paraId="54C94595" w14:textId="729AB6DC" w:rsidR="00003826" w:rsidRPr="003E651E" w:rsidRDefault="00003826" w:rsidP="00003826">
            <w:pPr>
              <w:jc w:val="left"/>
              <w:rPr>
                <w:b/>
                <w:sz w:val="17"/>
                <w:szCs w:val="17"/>
              </w:rPr>
            </w:pPr>
            <w:r w:rsidRPr="003E651E">
              <w:rPr>
                <w:b/>
                <w:sz w:val="17"/>
                <w:szCs w:val="17"/>
              </w:rPr>
              <w:t>5 November 2020</w:t>
            </w:r>
          </w:p>
        </w:tc>
        <w:tc>
          <w:tcPr>
            <w:tcW w:w="1880" w:type="dxa"/>
            <w:shd w:val="clear" w:color="auto" w:fill="auto"/>
          </w:tcPr>
          <w:p w14:paraId="487F4350" w14:textId="3B7CBF52" w:rsidR="00003826" w:rsidRPr="003E651E" w:rsidRDefault="00A324C3" w:rsidP="00003826">
            <w:pPr>
              <w:jc w:val="left"/>
              <w:rPr>
                <w:sz w:val="17"/>
                <w:szCs w:val="17"/>
              </w:rPr>
            </w:pPr>
            <w:hyperlink r:id="rId275" w:history="1">
              <w:r w:rsidR="00003826" w:rsidRPr="003E651E">
                <w:rPr>
                  <w:rStyle w:val="Hyperlink"/>
                  <w:sz w:val="17"/>
                  <w:szCs w:val="17"/>
                </w:rPr>
                <w:t>Update to ESMA Statement promoting coordinated action regarding benchmarks external audit requirements</w:t>
              </w:r>
            </w:hyperlink>
          </w:p>
        </w:tc>
        <w:tc>
          <w:tcPr>
            <w:tcW w:w="1819" w:type="dxa"/>
            <w:shd w:val="clear" w:color="auto" w:fill="auto"/>
          </w:tcPr>
          <w:p w14:paraId="55463A44" w14:textId="77777777" w:rsidR="00003826" w:rsidRPr="003E651E" w:rsidRDefault="00003826" w:rsidP="00003826">
            <w:pPr>
              <w:jc w:val="left"/>
              <w:rPr>
                <w:sz w:val="17"/>
                <w:szCs w:val="17"/>
              </w:rPr>
            </w:pPr>
          </w:p>
        </w:tc>
        <w:tc>
          <w:tcPr>
            <w:tcW w:w="2155" w:type="dxa"/>
            <w:shd w:val="clear" w:color="auto" w:fill="auto"/>
          </w:tcPr>
          <w:p w14:paraId="02361341" w14:textId="0B1D2CC1" w:rsidR="00003826" w:rsidRPr="003E651E" w:rsidRDefault="00003826" w:rsidP="00003826">
            <w:pPr>
              <w:jc w:val="left"/>
              <w:rPr>
                <w:sz w:val="17"/>
                <w:szCs w:val="17"/>
              </w:rPr>
            </w:pPr>
            <w:r w:rsidRPr="003E651E">
              <w:rPr>
                <w:sz w:val="17"/>
                <w:szCs w:val="17"/>
              </w:rPr>
              <w:t>National Competent Authorities</w:t>
            </w:r>
          </w:p>
        </w:tc>
        <w:tc>
          <w:tcPr>
            <w:tcW w:w="5523" w:type="dxa"/>
            <w:shd w:val="clear" w:color="auto" w:fill="auto"/>
          </w:tcPr>
          <w:p w14:paraId="6F8D6234" w14:textId="5A95D106" w:rsidR="00003826" w:rsidRPr="003E651E" w:rsidRDefault="00003826" w:rsidP="00003826">
            <w:pPr>
              <w:jc w:val="left"/>
              <w:rPr>
                <w:sz w:val="17"/>
                <w:szCs w:val="17"/>
              </w:rPr>
            </w:pPr>
            <w:r w:rsidRPr="003E651E">
              <w:rPr>
                <w:sz w:val="17"/>
                <w:szCs w:val="17"/>
              </w:rPr>
              <w:t xml:space="preserve">On 9 April, ESMA published a statement relating to the external auditing requirements in respect of the Benchmarks Regulation. This statement has now expired. ESMA does not believe a further extension is required in light of the COVID-19 and is no longer promoting and further coordinated action between National Competent Authorities in this respect. </w:t>
            </w:r>
          </w:p>
        </w:tc>
      </w:tr>
      <w:tr w:rsidR="00003826" w:rsidRPr="003E651E" w14:paraId="53F175B4" w14:textId="77777777" w:rsidTr="003E651E">
        <w:trPr>
          <w:cantSplit/>
        </w:trPr>
        <w:tc>
          <w:tcPr>
            <w:tcW w:w="1097" w:type="dxa"/>
            <w:shd w:val="clear" w:color="auto" w:fill="auto"/>
          </w:tcPr>
          <w:p w14:paraId="0703D6F3" w14:textId="33EDA5C5" w:rsidR="00003826" w:rsidRPr="003E651E" w:rsidRDefault="00003826" w:rsidP="00003826">
            <w:pPr>
              <w:jc w:val="left"/>
              <w:rPr>
                <w:b/>
                <w:sz w:val="17"/>
                <w:szCs w:val="17"/>
              </w:rPr>
            </w:pPr>
            <w:r w:rsidRPr="003E651E">
              <w:rPr>
                <w:b/>
                <w:sz w:val="17"/>
                <w:szCs w:val="17"/>
              </w:rPr>
              <w:t>5 November 2020</w:t>
            </w:r>
          </w:p>
        </w:tc>
        <w:tc>
          <w:tcPr>
            <w:tcW w:w="1880" w:type="dxa"/>
            <w:shd w:val="clear" w:color="auto" w:fill="auto"/>
          </w:tcPr>
          <w:p w14:paraId="3959C9C5" w14:textId="4995BF10" w:rsidR="00003826" w:rsidRPr="003E651E" w:rsidRDefault="00A324C3" w:rsidP="00003826">
            <w:pPr>
              <w:jc w:val="left"/>
              <w:rPr>
                <w:sz w:val="17"/>
                <w:szCs w:val="17"/>
              </w:rPr>
            </w:pPr>
            <w:hyperlink r:id="rId276" w:history="1">
              <w:r w:rsidR="00003826" w:rsidRPr="003E651E">
                <w:rPr>
                  <w:rStyle w:val="Hyperlink"/>
                  <w:sz w:val="17"/>
                  <w:szCs w:val="17"/>
                </w:rPr>
                <w:t xml:space="preserve">Update to ESMA Statement on </w:t>
              </w:r>
              <w:proofErr w:type="spellStart"/>
              <w:r w:rsidR="00003826" w:rsidRPr="003E651E">
                <w:rPr>
                  <w:rStyle w:val="Hyperlink"/>
                  <w:sz w:val="17"/>
                  <w:szCs w:val="17"/>
                </w:rPr>
                <w:t>MiFIR</w:t>
              </w:r>
              <w:proofErr w:type="spellEnd"/>
              <w:r w:rsidR="00003826" w:rsidRPr="003E651E">
                <w:rPr>
                  <w:rStyle w:val="Hyperlink"/>
                  <w:sz w:val="17"/>
                  <w:szCs w:val="17"/>
                </w:rPr>
                <w:t xml:space="preserve"> Open Access and COVID-19</w:t>
              </w:r>
            </w:hyperlink>
          </w:p>
        </w:tc>
        <w:tc>
          <w:tcPr>
            <w:tcW w:w="1819" w:type="dxa"/>
            <w:shd w:val="clear" w:color="auto" w:fill="auto"/>
          </w:tcPr>
          <w:p w14:paraId="449E6BD3" w14:textId="77777777" w:rsidR="00003826" w:rsidRPr="003E651E" w:rsidRDefault="00003826" w:rsidP="00003826">
            <w:pPr>
              <w:jc w:val="left"/>
              <w:rPr>
                <w:sz w:val="17"/>
                <w:szCs w:val="17"/>
              </w:rPr>
            </w:pPr>
          </w:p>
        </w:tc>
        <w:tc>
          <w:tcPr>
            <w:tcW w:w="2155" w:type="dxa"/>
            <w:shd w:val="clear" w:color="auto" w:fill="auto"/>
          </w:tcPr>
          <w:p w14:paraId="0C9B4EA7" w14:textId="46B67EEB" w:rsidR="00003826" w:rsidRPr="003E651E" w:rsidRDefault="00003826" w:rsidP="00003826">
            <w:pPr>
              <w:jc w:val="left"/>
              <w:rPr>
                <w:sz w:val="17"/>
                <w:szCs w:val="17"/>
              </w:rPr>
            </w:pPr>
            <w:r w:rsidRPr="003E651E">
              <w:rPr>
                <w:sz w:val="17"/>
                <w:szCs w:val="17"/>
              </w:rPr>
              <w:t>Financial markets participants</w:t>
            </w:r>
          </w:p>
        </w:tc>
        <w:tc>
          <w:tcPr>
            <w:tcW w:w="5523" w:type="dxa"/>
            <w:shd w:val="clear" w:color="auto" w:fill="auto"/>
          </w:tcPr>
          <w:p w14:paraId="3D251DB5" w14:textId="2323D99D" w:rsidR="00003826" w:rsidRPr="003E651E" w:rsidRDefault="00003826" w:rsidP="00003826">
            <w:pPr>
              <w:jc w:val="left"/>
              <w:rPr>
                <w:sz w:val="17"/>
                <w:szCs w:val="17"/>
              </w:rPr>
            </w:pPr>
            <w:r w:rsidRPr="003E651E">
              <w:rPr>
                <w:sz w:val="17"/>
                <w:szCs w:val="17"/>
              </w:rPr>
              <w:t xml:space="preserve">On 11 June, ESMA published a statement on </w:t>
            </w:r>
            <w:proofErr w:type="spellStart"/>
            <w:r w:rsidRPr="003E651E">
              <w:rPr>
                <w:sz w:val="17"/>
                <w:szCs w:val="17"/>
              </w:rPr>
              <w:t>MiFIR</w:t>
            </w:r>
            <w:proofErr w:type="spellEnd"/>
            <w:r w:rsidRPr="003E651E">
              <w:rPr>
                <w:sz w:val="17"/>
                <w:szCs w:val="17"/>
              </w:rPr>
              <w:t xml:space="preserve"> open access and COVID-19. A few weeks after this statement was released, the co-legislators agreed on a 1-year extension to the transitional period until 3 July 2021. </w:t>
            </w:r>
          </w:p>
        </w:tc>
      </w:tr>
      <w:tr w:rsidR="00003826" w:rsidRPr="00166D67" w14:paraId="510E10C3" w14:textId="77777777" w:rsidTr="003E651E">
        <w:trPr>
          <w:cantSplit/>
        </w:trPr>
        <w:tc>
          <w:tcPr>
            <w:tcW w:w="1097" w:type="dxa"/>
            <w:shd w:val="clear" w:color="auto" w:fill="auto"/>
          </w:tcPr>
          <w:p w14:paraId="0A410EAB" w14:textId="5C9E32D3" w:rsidR="00003826" w:rsidRPr="003E651E" w:rsidRDefault="00003826" w:rsidP="00003826">
            <w:pPr>
              <w:jc w:val="left"/>
              <w:rPr>
                <w:b/>
                <w:sz w:val="17"/>
                <w:szCs w:val="17"/>
              </w:rPr>
            </w:pPr>
            <w:r w:rsidRPr="003E651E">
              <w:rPr>
                <w:b/>
                <w:sz w:val="17"/>
                <w:szCs w:val="17"/>
              </w:rPr>
              <w:t>11 November 2020</w:t>
            </w:r>
          </w:p>
        </w:tc>
        <w:tc>
          <w:tcPr>
            <w:tcW w:w="1880" w:type="dxa"/>
            <w:shd w:val="clear" w:color="auto" w:fill="auto"/>
          </w:tcPr>
          <w:p w14:paraId="7CDC77AE" w14:textId="11D14A12" w:rsidR="00003826" w:rsidRPr="003E651E" w:rsidRDefault="00A324C3" w:rsidP="00003826">
            <w:pPr>
              <w:jc w:val="left"/>
              <w:rPr>
                <w:sz w:val="17"/>
                <w:szCs w:val="17"/>
              </w:rPr>
            </w:pPr>
            <w:hyperlink r:id="rId277" w:history="1">
              <w:r w:rsidR="00003826" w:rsidRPr="003E651E">
                <w:rPr>
                  <w:rStyle w:val="Hyperlink"/>
                  <w:sz w:val="17"/>
                  <w:szCs w:val="17"/>
                </w:rPr>
                <w:t>ESMA updates its risk assessment in light of the COVID-19 pandemic</w:t>
              </w:r>
            </w:hyperlink>
          </w:p>
        </w:tc>
        <w:tc>
          <w:tcPr>
            <w:tcW w:w="1819" w:type="dxa"/>
            <w:shd w:val="clear" w:color="auto" w:fill="auto"/>
          </w:tcPr>
          <w:p w14:paraId="30E84BF1" w14:textId="77777777" w:rsidR="00003826" w:rsidRPr="003E651E" w:rsidRDefault="00003826" w:rsidP="00003826">
            <w:pPr>
              <w:jc w:val="left"/>
              <w:rPr>
                <w:sz w:val="17"/>
                <w:szCs w:val="17"/>
              </w:rPr>
            </w:pPr>
          </w:p>
        </w:tc>
        <w:tc>
          <w:tcPr>
            <w:tcW w:w="2155" w:type="dxa"/>
            <w:shd w:val="clear" w:color="auto" w:fill="auto"/>
          </w:tcPr>
          <w:p w14:paraId="5AB62E99" w14:textId="3C4192CD" w:rsidR="00003826" w:rsidRPr="003E651E" w:rsidRDefault="00003826" w:rsidP="00003826">
            <w:pPr>
              <w:jc w:val="left"/>
              <w:rPr>
                <w:sz w:val="17"/>
                <w:szCs w:val="17"/>
              </w:rPr>
            </w:pPr>
            <w:r w:rsidRPr="003E651E">
              <w:rPr>
                <w:sz w:val="17"/>
                <w:szCs w:val="17"/>
              </w:rPr>
              <w:t>Financial markets participants</w:t>
            </w:r>
          </w:p>
        </w:tc>
        <w:tc>
          <w:tcPr>
            <w:tcW w:w="5523" w:type="dxa"/>
            <w:shd w:val="clear" w:color="auto" w:fill="auto"/>
          </w:tcPr>
          <w:p w14:paraId="1A267974" w14:textId="0A202C76" w:rsidR="00003826" w:rsidRPr="003E651E" w:rsidRDefault="00003826" w:rsidP="00003826">
            <w:pPr>
              <w:jc w:val="left"/>
              <w:rPr>
                <w:sz w:val="17"/>
                <w:szCs w:val="17"/>
              </w:rPr>
            </w:pPr>
            <w:r w:rsidRPr="003E651E">
              <w:rPr>
                <w:sz w:val="17"/>
                <w:szCs w:val="17"/>
              </w:rPr>
              <w:t xml:space="preserve">ESMA has updated its </w:t>
            </w:r>
            <w:hyperlink r:id="rId278" w:history="1">
              <w:r w:rsidRPr="003E651E">
                <w:rPr>
                  <w:rStyle w:val="Hyperlink"/>
                  <w:sz w:val="17"/>
                  <w:szCs w:val="17"/>
                </w:rPr>
                <w:t>risk assessment</w:t>
              </w:r>
            </w:hyperlink>
            <w:r w:rsidRPr="003E651E">
              <w:rPr>
                <w:sz w:val="17"/>
                <w:szCs w:val="17"/>
              </w:rPr>
              <w:t xml:space="preserve"> for Q3 to account of the impact of COVID-19 on EU markets. </w:t>
            </w:r>
          </w:p>
        </w:tc>
      </w:tr>
      <w:tr w:rsidR="00003826" w:rsidRPr="00166D67" w14:paraId="0576194C" w14:textId="77777777" w:rsidTr="003E651E">
        <w:trPr>
          <w:cantSplit/>
        </w:trPr>
        <w:tc>
          <w:tcPr>
            <w:tcW w:w="1097" w:type="dxa"/>
            <w:shd w:val="clear" w:color="auto" w:fill="auto"/>
          </w:tcPr>
          <w:p w14:paraId="16E10C6A" w14:textId="77777777" w:rsidR="00003826" w:rsidRPr="009E4313" w:rsidRDefault="00003826" w:rsidP="00003826">
            <w:pPr>
              <w:jc w:val="left"/>
              <w:rPr>
                <w:b/>
                <w:sz w:val="17"/>
                <w:szCs w:val="17"/>
              </w:rPr>
            </w:pPr>
          </w:p>
        </w:tc>
        <w:tc>
          <w:tcPr>
            <w:tcW w:w="1880" w:type="dxa"/>
            <w:shd w:val="clear" w:color="auto" w:fill="auto"/>
          </w:tcPr>
          <w:p w14:paraId="52A5FB80" w14:textId="77777777" w:rsidR="00003826" w:rsidRDefault="00003826" w:rsidP="00003826">
            <w:pPr>
              <w:jc w:val="left"/>
              <w:rPr>
                <w:sz w:val="17"/>
                <w:szCs w:val="17"/>
              </w:rPr>
            </w:pPr>
          </w:p>
        </w:tc>
        <w:tc>
          <w:tcPr>
            <w:tcW w:w="1819" w:type="dxa"/>
            <w:shd w:val="clear" w:color="auto" w:fill="auto"/>
          </w:tcPr>
          <w:p w14:paraId="44AE31CB" w14:textId="77777777" w:rsidR="00003826" w:rsidRPr="003E651E" w:rsidRDefault="00003826" w:rsidP="00003826">
            <w:pPr>
              <w:jc w:val="left"/>
              <w:rPr>
                <w:sz w:val="17"/>
                <w:szCs w:val="17"/>
              </w:rPr>
            </w:pPr>
          </w:p>
        </w:tc>
        <w:tc>
          <w:tcPr>
            <w:tcW w:w="2155" w:type="dxa"/>
            <w:shd w:val="clear" w:color="auto" w:fill="auto"/>
          </w:tcPr>
          <w:p w14:paraId="69B91FD8" w14:textId="77777777" w:rsidR="00003826" w:rsidRPr="003E651E" w:rsidRDefault="00003826" w:rsidP="00003826">
            <w:pPr>
              <w:jc w:val="left"/>
              <w:rPr>
                <w:sz w:val="17"/>
                <w:szCs w:val="17"/>
              </w:rPr>
            </w:pPr>
          </w:p>
        </w:tc>
        <w:tc>
          <w:tcPr>
            <w:tcW w:w="5523" w:type="dxa"/>
            <w:shd w:val="clear" w:color="auto" w:fill="auto"/>
          </w:tcPr>
          <w:p w14:paraId="7E079F45" w14:textId="77777777" w:rsidR="00003826" w:rsidRPr="003E651E" w:rsidRDefault="00003826" w:rsidP="00003826">
            <w:pPr>
              <w:jc w:val="left"/>
              <w:rPr>
                <w:sz w:val="17"/>
                <w:szCs w:val="17"/>
              </w:rPr>
            </w:pPr>
          </w:p>
        </w:tc>
      </w:tr>
    </w:tbl>
    <w:p w14:paraId="18205C3A" w14:textId="6863D7BA" w:rsidR="00663EFD" w:rsidRPr="00166D67" w:rsidRDefault="00663EFD" w:rsidP="0059185F">
      <w:pPr>
        <w:spacing w:line="240" w:lineRule="auto"/>
        <w:jc w:val="left"/>
        <w:rPr>
          <w:sz w:val="17"/>
          <w:szCs w:val="17"/>
        </w:rPr>
      </w:pPr>
    </w:p>
    <w:p w14:paraId="5957E15F" w14:textId="77777777" w:rsidR="00663EFD" w:rsidRPr="00166D67" w:rsidRDefault="00663EFD" w:rsidP="0059185F">
      <w:pPr>
        <w:spacing w:line="240" w:lineRule="auto"/>
        <w:jc w:val="left"/>
        <w:rPr>
          <w:sz w:val="17"/>
          <w:szCs w:val="17"/>
        </w:rPr>
      </w:pPr>
      <w:r w:rsidRPr="00166D67">
        <w:rPr>
          <w:sz w:val="17"/>
          <w:szCs w:val="17"/>
        </w:rPr>
        <w:br w:type="page"/>
      </w:r>
    </w:p>
    <w:p w14:paraId="17245880" w14:textId="225848A2" w:rsidR="00CA6FD0" w:rsidRPr="00166D67" w:rsidRDefault="00730C00" w:rsidP="0059185F">
      <w:pPr>
        <w:spacing w:line="240" w:lineRule="auto"/>
        <w:jc w:val="left"/>
        <w:rPr>
          <w:sz w:val="17"/>
          <w:szCs w:val="17"/>
        </w:rPr>
      </w:pPr>
      <w:r w:rsidRPr="00166D67">
        <w:rPr>
          <w:noProof/>
          <w:sz w:val="17"/>
          <w:szCs w:val="17"/>
          <w:lang w:eastAsia="en-IE"/>
        </w:rPr>
        <mc:AlternateContent>
          <mc:Choice Requires="wps">
            <w:drawing>
              <wp:anchor distT="45720" distB="45720" distL="114300" distR="114300" simplePos="0" relativeHeight="251670528" behindDoc="0" locked="0" layoutInCell="1" allowOverlap="1" wp14:anchorId="2550D2E3" wp14:editId="5ABFAA2C">
                <wp:simplePos x="0" y="0"/>
                <wp:positionH relativeFrom="margin">
                  <wp:posOffset>4518660</wp:posOffset>
                </wp:positionH>
                <wp:positionV relativeFrom="paragraph">
                  <wp:posOffset>5415280</wp:posOffset>
                </wp:positionV>
                <wp:extent cx="4640580" cy="521970"/>
                <wp:effectExtent l="0" t="0" r="762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521970"/>
                        </a:xfrm>
                        <a:prstGeom prst="rect">
                          <a:avLst/>
                        </a:prstGeom>
                        <a:solidFill>
                          <a:srgbClr val="FFFFFF"/>
                        </a:solidFill>
                        <a:ln w="9525">
                          <a:noFill/>
                          <a:miter lim="800000"/>
                          <a:headEnd/>
                          <a:tailEnd/>
                        </a:ln>
                      </wps:spPr>
                      <wps:txbx>
                        <w:txbxContent>
                          <w:p w14:paraId="2596334F" w14:textId="083F0B1C" w:rsidR="009D41EE" w:rsidRPr="00730C00" w:rsidRDefault="009D41EE" w:rsidP="00730C00">
                            <w:pPr>
                              <w:pStyle w:val="ALGNo1"/>
                              <w:numPr>
                                <w:ilvl w:val="0"/>
                                <w:numId w:val="0"/>
                              </w:numPr>
                              <w:jc w:val="left"/>
                              <w:rPr>
                                <w:sz w:val="14"/>
                              </w:rPr>
                            </w:pPr>
                            <w:r w:rsidRPr="00730C00">
                              <w:rPr>
                                <w:sz w:val="14"/>
                              </w:rPr>
                              <w:t>Disclaimer: A&amp;L Goodbody 202</w:t>
                            </w:r>
                            <w:r>
                              <w:rPr>
                                <w:sz w:val="14"/>
                              </w:rPr>
                              <w:t>1</w:t>
                            </w:r>
                            <w:r w:rsidRPr="00730C00">
                              <w:rPr>
                                <w:sz w:val="14"/>
                              </w:rPr>
                              <w:t xml:space="preserve">. The contents of this document are limited to general information and not detailed analysis of law or legal advice and are not intended to address specific legal queries arising in any particular set of circumstances. </w:t>
                            </w:r>
                          </w:p>
                          <w:p w14:paraId="7949C5B7" w14:textId="5424DF45" w:rsidR="009D41EE" w:rsidRPr="00730C00" w:rsidRDefault="009D41EE" w:rsidP="00730C00">
                            <w:pPr>
                              <w:pStyle w:val="ALGNo1"/>
                              <w:numPr>
                                <w:ilvl w:val="0"/>
                                <w:numId w:val="0"/>
                              </w:numPr>
                              <w:jc w:val="left"/>
                              <w:rPr>
                                <w:sz w:val="1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50D2E3" id="Text Box 1" o:spid="_x0000_s1028" type="#_x0000_t202" style="position:absolute;margin-left:355.8pt;margin-top:426.4pt;width:365.4pt;height:41.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" stroked="f">
                <v:textbox inset="0,0,0,0">
                  <w:txbxContent>
                    <w:p w14:paraId="2596334F" w14:textId="083F0B1C" w:rsidR="009D41EE" w:rsidRPr="00730C00" w:rsidRDefault="009D41EE" w:rsidP="00730C00">
                      <w:pPr>
                        <w:pStyle w:val="ALGNo1"/>
                        <w:numPr>
                          <w:ilvl w:val="0"/>
                          <w:numId w:val="0"/>
                        </w:numPr>
                        <w:jc w:val="left"/>
                        <w:rPr>
                          <w:sz w:val="14"/>
                        </w:rPr>
                      </w:pPr>
                      <w:r w:rsidRPr="00730C00">
                        <w:rPr>
                          <w:sz w:val="14"/>
                        </w:rPr>
                        <w:t>Disclaimer: A&amp;L Goodbody 202</w:t>
                      </w:r>
                      <w:r>
                        <w:rPr>
                          <w:sz w:val="14"/>
                        </w:rPr>
                        <w:t>1</w:t>
                      </w:r>
                      <w:r w:rsidRPr="00730C00">
                        <w:rPr>
                          <w:sz w:val="14"/>
                        </w:rPr>
                        <w:t xml:space="preserve">. The contents of this document are limited to general information and not detailed analysis of law or legal advice and are not intended to address specific legal queries arising in any particular set of circumstances. </w:t>
                      </w:r>
                    </w:p>
                    <w:p w14:paraId="7949C5B7" w14:textId="5424DF45" w:rsidR="009D41EE" w:rsidRPr="00730C00" w:rsidRDefault="009D41EE" w:rsidP="00730C00">
                      <w:pPr>
                        <w:pStyle w:val="ALGNo1"/>
                        <w:numPr>
                          <w:ilvl w:val="0"/>
                          <w:numId w:val="0"/>
                        </w:numPr>
                        <w:jc w:val="left"/>
                        <w:rPr>
                          <w:sz w:val="14"/>
                        </w:rPr>
                      </w:pPr>
                    </w:p>
                  </w:txbxContent>
                </v:textbox>
                <w10:wrap anchorx="margin"/>
              </v:shape>
            </w:pict>
          </mc:Fallback>
        </mc:AlternateContent>
      </w:r>
      <w:r w:rsidRPr="00166D67">
        <w:rPr>
          <w:noProof/>
          <w:sz w:val="17"/>
          <w:szCs w:val="17"/>
          <w:lang w:eastAsia="en-IE"/>
        </w:rPr>
        <mc:AlternateContent>
          <mc:Choice Requires="wps">
            <w:drawing>
              <wp:anchor distT="45720" distB="45720" distL="114300" distR="114300" simplePos="0" relativeHeight="251664384" behindDoc="0" locked="0" layoutInCell="1" allowOverlap="1" wp14:anchorId="44B01CD6" wp14:editId="4A306C74">
                <wp:simplePos x="0" y="0"/>
                <wp:positionH relativeFrom="margin">
                  <wp:posOffset>5090160</wp:posOffset>
                </wp:positionH>
                <wp:positionV relativeFrom="paragraph">
                  <wp:posOffset>3942715</wp:posOffset>
                </wp:positionV>
                <wp:extent cx="2552700" cy="6667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66750"/>
                        </a:xfrm>
                        <a:prstGeom prst="rect">
                          <a:avLst/>
                        </a:prstGeom>
                        <a:solidFill>
                          <a:srgbClr val="FFFFFF"/>
                        </a:solidFill>
                        <a:ln w="9525">
                          <a:noFill/>
                          <a:miter lim="800000"/>
                          <a:headEnd/>
                          <a:tailEnd/>
                        </a:ln>
                      </wps:spPr>
                      <wps:txbx>
                        <w:txbxContent>
                          <w:p w14:paraId="25EAF244" w14:textId="68A7D19A" w:rsidR="009D41EE" w:rsidRDefault="009D41EE" w:rsidP="00284DA3">
                            <w:pPr>
                              <w:pStyle w:val="ContactNameContacts"/>
                            </w:pPr>
                            <w:r w:rsidRPr="0022352A">
                              <w:rPr>
                                <w:rFonts w:asciiTheme="majorHAnsi" w:hAnsiTheme="majorHAnsi" w:cstheme="majorHAnsi"/>
                                <w:b w:val="0"/>
                                <w:bCs w:val="0"/>
                                <w:color w:val="3C3835"/>
                                <w:sz w:val="22"/>
                                <w:szCs w:val="22"/>
                              </w:rPr>
                              <w:t>You will find a full range of timely materials for businesses in our dedicated</w:t>
                            </w:r>
                            <w:r w:rsidRPr="0022352A">
                              <w:rPr>
                                <w:rFonts w:asciiTheme="majorHAnsi" w:hAnsiTheme="majorHAnsi" w:cstheme="majorHAnsi"/>
                                <w:b w:val="0"/>
                                <w:bCs w:val="0"/>
                                <w:caps/>
                                <w:color w:val="3C3835"/>
                                <w:sz w:val="22"/>
                                <w:szCs w:val="22"/>
                              </w:rPr>
                              <w:t xml:space="preserve"> </w:t>
                            </w:r>
                            <w:r w:rsidRPr="0022352A">
                              <w:rPr>
                                <w:rFonts w:asciiTheme="majorHAnsi" w:hAnsiTheme="majorHAnsi" w:cstheme="majorHAnsi"/>
                                <w:b w:val="0"/>
                                <w:bCs w:val="0"/>
                                <w:caps/>
                                <w:color w:val="000000"/>
                                <w:sz w:val="22"/>
                                <w:szCs w:val="22"/>
                              </w:rPr>
                              <w:br/>
                            </w:r>
                            <w:hyperlink r:id="rId279" w:history="1">
                              <w:r w:rsidRPr="001701F9">
                                <w:rPr>
                                  <w:rStyle w:val="Hyperlink"/>
                                  <w:rFonts w:asciiTheme="majorHAnsi" w:hAnsiTheme="majorHAnsi" w:cstheme="majorHAnsi"/>
                                  <w:b w:val="0"/>
                                  <w:bCs w:val="0"/>
                                  <w:caps/>
                                  <w:sz w:val="22"/>
                                  <w:szCs w:val="22"/>
                                </w:rPr>
                                <w:t>COVID-19 hub</w:t>
                              </w:r>
                            </w:hyperlink>
                            <w:r w:rsidRPr="0022352A">
                              <w:rPr>
                                <w:rFonts w:asciiTheme="majorHAnsi" w:hAnsiTheme="majorHAnsi" w:cstheme="majorHAnsi"/>
                                <w:caps/>
                                <w:sz w:val="22"/>
                                <w:szCs w:val="22"/>
                              </w:rPr>
                              <w:t xml:space="preserve"> </w:t>
                            </w:r>
                            <w:r w:rsidRPr="0022352A">
                              <w:rPr>
                                <w:rFonts w:asciiTheme="majorHAnsi" w:hAnsiTheme="majorHAnsi" w:cstheme="majorHAnsi"/>
                                <w:b w:val="0"/>
                                <w:bCs w:val="0"/>
                                <w:color w:val="3C3835"/>
                                <w:sz w:val="22"/>
                                <w:szCs w:val="22"/>
                              </w:rPr>
                              <w:t>on our website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B01CD6" id="Text Box 33" o:spid="_x0000_s1029" type="#_x0000_t202" style="position:absolute;margin-left:400.8pt;margin-top:310.45pt;width:201pt;height:5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" stroked="f">
                <v:textbox inset="0,0,0,0">
                  <w:txbxContent>
                    <w:p w14:paraId="25EAF244" w14:textId="68A7D19A" w:rsidR="009D41EE" w:rsidRDefault="009D41EE" w:rsidP="00284DA3">
                      <w:pPr>
                        <w:pStyle w:val="ContactNameContacts"/>
                      </w:pPr>
                      <w:r w:rsidRPr="0022352A">
                        <w:rPr>
                          <w:rFonts w:asciiTheme="majorHAnsi" w:hAnsiTheme="majorHAnsi" w:cstheme="majorHAnsi"/>
                          <w:b w:val="0"/>
                          <w:bCs w:val="0"/>
                          <w:color w:val="3C3835"/>
                          <w:sz w:val="22"/>
                          <w:szCs w:val="22"/>
                        </w:rPr>
                        <w:t>You will find a full range of timely materials for businesses in our dedicated</w:t>
                      </w:r>
                      <w:r w:rsidRPr="0022352A">
                        <w:rPr>
                          <w:rFonts w:asciiTheme="majorHAnsi" w:hAnsiTheme="majorHAnsi" w:cstheme="majorHAnsi"/>
                          <w:b w:val="0"/>
                          <w:bCs w:val="0"/>
                          <w:caps/>
                          <w:color w:val="3C3835"/>
                          <w:sz w:val="22"/>
                          <w:szCs w:val="22"/>
                        </w:rPr>
                        <w:t xml:space="preserve"> </w:t>
                      </w:r>
                      <w:r w:rsidRPr="0022352A">
                        <w:rPr>
                          <w:rFonts w:asciiTheme="majorHAnsi" w:hAnsiTheme="majorHAnsi" w:cstheme="majorHAnsi"/>
                          <w:b w:val="0"/>
                          <w:bCs w:val="0"/>
                          <w:caps/>
                          <w:color w:val="000000"/>
                          <w:sz w:val="22"/>
                          <w:szCs w:val="22"/>
                        </w:rPr>
                        <w:br/>
                      </w:r>
                      <w:hyperlink r:id="rId280" w:history="1">
                        <w:r w:rsidRPr="001701F9">
                          <w:rPr>
                            <w:rStyle w:val="Hyperlink"/>
                            <w:rFonts w:asciiTheme="majorHAnsi" w:hAnsiTheme="majorHAnsi" w:cstheme="majorHAnsi"/>
                            <w:b w:val="0"/>
                            <w:bCs w:val="0"/>
                            <w:caps/>
                            <w:sz w:val="22"/>
                            <w:szCs w:val="22"/>
                          </w:rPr>
                          <w:t>COVID-19 hub</w:t>
                        </w:r>
                      </w:hyperlink>
                      <w:r w:rsidRPr="0022352A">
                        <w:rPr>
                          <w:rFonts w:asciiTheme="majorHAnsi" w:hAnsiTheme="majorHAnsi" w:cstheme="majorHAnsi"/>
                          <w:caps/>
                          <w:sz w:val="22"/>
                          <w:szCs w:val="22"/>
                        </w:rPr>
                        <w:t xml:space="preserve"> </w:t>
                      </w:r>
                      <w:r w:rsidRPr="0022352A">
                        <w:rPr>
                          <w:rFonts w:asciiTheme="majorHAnsi" w:hAnsiTheme="majorHAnsi" w:cstheme="majorHAnsi"/>
                          <w:b w:val="0"/>
                          <w:bCs w:val="0"/>
                          <w:color w:val="3C3835"/>
                          <w:sz w:val="22"/>
                          <w:szCs w:val="22"/>
                        </w:rPr>
                        <w:t>on our website</w:t>
                      </w:r>
                    </w:p>
                  </w:txbxContent>
                </v:textbox>
                <w10:wrap anchorx="margin"/>
              </v:shape>
            </w:pict>
          </mc:Fallback>
        </mc:AlternateContent>
      </w:r>
      <w:r w:rsidRPr="00166D67">
        <w:rPr>
          <w:noProof/>
          <w:sz w:val="17"/>
          <w:szCs w:val="17"/>
          <w:lang w:eastAsia="en-IE"/>
        </w:rPr>
        <w:drawing>
          <wp:anchor distT="0" distB="0" distL="114300" distR="114300" simplePos="0" relativeHeight="251662336" behindDoc="0" locked="0" layoutInCell="1" allowOverlap="1" wp14:anchorId="6697ACE4" wp14:editId="4F72C3AF">
            <wp:simplePos x="0" y="0"/>
            <wp:positionH relativeFrom="page">
              <wp:align>right</wp:align>
            </wp:positionH>
            <wp:positionV relativeFrom="paragraph">
              <wp:posOffset>-809625</wp:posOffset>
            </wp:positionV>
            <wp:extent cx="10668000" cy="75412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9 - Statements back page.jpg"/>
                    <pic:cNvPicPr/>
                  </pic:nvPicPr>
                  <pic:blipFill>
                    <a:blip r:embed="rId281">
                      <a:extLst>
                        <a:ext uri="{28A0092B-C50C-407E-A947-70E740481C1C}">
                          <a14:useLocalDpi xmlns:a14="http://schemas.microsoft.com/office/drawing/2010/main" val="0"/>
                        </a:ext>
                      </a:extLst>
                    </a:blip>
                    <a:stretch>
                      <a:fillRect/>
                    </a:stretch>
                  </pic:blipFill>
                  <pic:spPr>
                    <a:xfrm>
                      <a:off x="0" y="0"/>
                      <a:ext cx="10668000" cy="7541801"/>
                    </a:xfrm>
                    <a:prstGeom prst="rect">
                      <a:avLst/>
                    </a:prstGeom>
                  </pic:spPr>
                </pic:pic>
              </a:graphicData>
            </a:graphic>
            <wp14:sizeRelH relativeFrom="margin">
              <wp14:pctWidth>0</wp14:pctWidth>
            </wp14:sizeRelH>
            <wp14:sizeRelV relativeFrom="margin">
              <wp14:pctHeight>0</wp14:pctHeight>
            </wp14:sizeRelV>
          </wp:anchor>
        </w:drawing>
      </w:r>
      <w:r w:rsidR="001701F9" w:rsidRPr="00166D67">
        <w:rPr>
          <w:noProof/>
          <w:sz w:val="17"/>
          <w:szCs w:val="17"/>
          <w:lang w:eastAsia="en-IE"/>
        </w:rPr>
        <mc:AlternateContent>
          <mc:Choice Requires="wps">
            <w:drawing>
              <wp:anchor distT="45720" distB="45720" distL="114300" distR="114300" simplePos="0" relativeHeight="251666432" behindDoc="0" locked="0" layoutInCell="1" allowOverlap="1" wp14:anchorId="228A1D33" wp14:editId="6B4B6FF8">
                <wp:simplePos x="0" y="0"/>
                <wp:positionH relativeFrom="margin">
                  <wp:posOffset>4638675</wp:posOffset>
                </wp:positionH>
                <wp:positionV relativeFrom="paragraph">
                  <wp:posOffset>2837815</wp:posOffset>
                </wp:positionV>
                <wp:extent cx="4486275" cy="1009650"/>
                <wp:effectExtent l="0" t="0" r="9525"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009650"/>
                        </a:xfrm>
                        <a:prstGeom prst="rect">
                          <a:avLst/>
                        </a:prstGeom>
                        <a:solidFill>
                          <a:srgbClr val="FFFFFF"/>
                        </a:solidFill>
                        <a:ln w="9525">
                          <a:noFill/>
                          <a:miter lim="800000"/>
                          <a:headEnd/>
                          <a:tailEnd/>
                        </a:ln>
                      </wps:spPr>
                      <wps:txbx>
                        <w:txbxContent>
                          <w:p w14:paraId="6936DD75" w14:textId="26A78F7B" w:rsidR="009D41EE" w:rsidRPr="001701F9" w:rsidRDefault="009D41EE" w:rsidP="001701F9">
                            <w:pPr>
                              <w:pStyle w:val="IntrogreenparaBasicText"/>
                              <w:rPr>
                                <w:rFonts w:asciiTheme="majorHAnsi" w:hAnsiTheme="majorHAnsi" w:cstheme="majorHAnsi"/>
                                <w:color w:val="3C3835"/>
                              </w:rPr>
                            </w:pPr>
                            <w:r w:rsidRPr="001701F9">
                              <w:rPr>
                                <w:rFonts w:asciiTheme="majorHAnsi" w:hAnsiTheme="majorHAnsi" w:cstheme="majorHAnsi"/>
                                <w:color w:val="3C3835"/>
                              </w:rPr>
                              <w:t xml:space="preserve">Please do not hesitate to contact A&amp;L Goodbody, including any member of the </w:t>
                            </w:r>
                            <w:hyperlink r:id="rId282" w:history="1">
                              <w:r w:rsidRPr="001701F9">
                                <w:rPr>
                                  <w:rStyle w:val="Hyperlink"/>
                                  <w:rFonts w:asciiTheme="majorHAnsi" w:hAnsiTheme="majorHAnsi" w:cstheme="majorHAnsi"/>
                                </w:rPr>
                                <w:t>Financial Regulation team</w:t>
                              </w:r>
                            </w:hyperlink>
                            <w:r w:rsidRPr="001701F9">
                              <w:rPr>
                                <w:rFonts w:asciiTheme="majorHAnsi" w:hAnsiTheme="majorHAnsi" w:cstheme="majorHAnsi"/>
                                <w:color w:val="3C3835"/>
                              </w:rPr>
                              <w:t xml:space="preserve">, if you wish to discuss the impact of COVID-19 or any of the matters raised in this publication.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A1D33" id="_x0000_s1030" type="#_x0000_t202" style="position:absolute;margin-left:365.25pt;margin-top:223.45pt;width:353.25pt;height:7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" stroked="f">
                <v:textbox inset="0,0,0,0">
                  <w:txbxContent>
                    <w:p w14:paraId="6936DD75" w14:textId="26A78F7B" w:rsidR="009D41EE" w:rsidRPr="001701F9" w:rsidRDefault="009D41EE" w:rsidP="001701F9">
                      <w:pPr>
                        <w:pStyle w:val="IntrogreenparaBasicText"/>
                        <w:rPr>
                          <w:rFonts w:asciiTheme="majorHAnsi" w:hAnsiTheme="majorHAnsi" w:cstheme="majorHAnsi"/>
                          <w:color w:val="3C3835"/>
                        </w:rPr>
                      </w:pPr>
                      <w:r w:rsidRPr="001701F9">
                        <w:rPr>
                          <w:rFonts w:asciiTheme="majorHAnsi" w:hAnsiTheme="majorHAnsi" w:cstheme="majorHAnsi"/>
                          <w:color w:val="3C3835"/>
                        </w:rPr>
                        <w:t xml:space="preserve">Please do not hesitate to contact A&amp;L Goodbody, including any member of the </w:t>
                      </w:r>
                      <w:hyperlink r:id="rId283" w:history="1">
                        <w:r w:rsidRPr="001701F9">
                          <w:rPr>
                            <w:rStyle w:val="Hyperlink"/>
                            <w:rFonts w:asciiTheme="majorHAnsi" w:hAnsiTheme="majorHAnsi" w:cstheme="majorHAnsi"/>
                          </w:rPr>
                          <w:t>Financial Regulation team</w:t>
                        </w:r>
                      </w:hyperlink>
                      <w:r w:rsidRPr="001701F9">
                        <w:rPr>
                          <w:rFonts w:asciiTheme="majorHAnsi" w:hAnsiTheme="majorHAnsi" w:cstheme="majorHAnsi"/>
                          <w:color w:val="3C3835"/>
                        </w:rPr>
                        <w:t xml:space="preserve">, if you wish to discuss the impact of COVID-19 or any of the matters raised in this publication. </w:t>
                      </w:r>
                    </w:p>
                  </w:txbxContent>
                </v:textbox>
                <w10:wrap type="square" anchorx="margin"/>
              </v:shape>
            </w:pict>
          </mc:Fallback>
        </mc:AlternateContent>
      </w:r>
    </w:p>
    <w:sectPr w:rsidR="00CA6FD0" w:rsidRPr="00166D67" w:rsidSect="00166D67">
      <w:headerReference w:type="default" r:id="rId284"/>
      <w:headerReference w:type="first" r:id="rId285"/>
      <w:pgSz w:w="16838" w:h="11906" w:orient="landscape"/>
      <w:pgMar w:top="1276" w:right="1440" w:bottom="42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98529" w14:textId="77777777" w:rsidR="00A324C3" w:rsidRDefault="00A324C3" w:rsidP="00980A69">
      <w:pPr>
        <w:spacing w:before="0" w:line="240" w:lineRule="auto"/>
      </w:pPr>
      <w:r>
        <w:separator/>
      </w:r>
    </w:p>
  </w:endnote>
  <w:endnote w:type="continuationSeparator" w:id="0">
    <w:p w14:paraId="019C5CF2" w14:textId="77777777" w:rsidR="00A324C3" w:rsidRDefault="00A324C3" w:rsidP="00980A6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Lato">
    <w:altName w:val="Calibri"/>
    <w:panose1 w:val="020F0502020204030203"/>
    <w:charset w:val="00"/>
    <w:family w:val="swiss"/>
    <w:pitch w:val="variable"/>
    <w:sig w:usb0="E10002FF" w:usb1="5000EC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FDBFDA" w14:textId="77777777" w:rsidR="00A324C3" w:rsidRDefault="00A324C3" w:rsidP="00980A69">
      <w:pPr>
        <w:spacing w:before="0" w:line="240" w:lineRule="auto"/>
      </w:pPr>
      <w:r>
        <w:separator/>
      </w:r>
    </w:p>
  </w:footnote>
  <w:footnote w:type="continuationSeparator" w:id="0">
    <w:p w14:paraId="2F01DE99" w14:textId="77777777" w:rsidR="00A324C3" w:rsidRDefault="00A324C3" w:rsidP="00980A69">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4CF6D" w14:textId="4F126938" w:rsidR="009D41EE" w:rsidRDefault="009D41EE">
    <w:pPr>
      <w:pStyle w:val="Header"/>
    </w:pPr>
    <w:r>
      <w:rPr>
        <w:noProof/>
        <w:lang w:eastAsia="en-IE"/>
      </w:rPr>
      <w:drawing>
        <wp:anchor distT="0" distB="0" distL="114300" distR="114300" simplePos="0" relativeHeight="251659264" behindDoc="0" locked="0" layoutInCell="1" allowOverlap="1" wp14:anchorId="2AC16505" wp14:editId="5B3D6C18">
          <wp:simplePos x="0" y="0"/>
          <wp:positionH relativeFrom="column">
            <wp:posOffset>-781050</wp:posOffset>
          </wp:positionH>
          <wp:positionV relativeFrom="paragraph">
            <wp:posOffset>-306705</wp:posOffset>
          </wp:positionV>
          <wp:extent cx="1857375" cy="7288986"/>
          <wp:effectExtent l="0" t="0" r="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id-19 - Statements side ba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7375" cy="72889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C9B4A" w14:textId="5D5269E1" w:rsidR="009D41EE" w:rsidRDefault="009D41EE">
    <w:pPr>
      <w:pStyle w:val="Header"/>
    </w:pPr>
    <w:r>
      <w:rPr>
        <w:noProof/>
        <w:lang w:eastAsia="en-IE"/>
      </w:rPr>
      <w:drawing>
        <wp:anchor distT="0" distB="0" distL="114300" distR="114300" simplePos="0" relativeHeight="251658240" behindDoc="1" locked="0" layoutInCell="1" allowOverlap="1" wp14:anchorId="28E9FF48" wp14:editId="56B046D0">
          <wp:simplePos x="0" y="0"/>
          <wp:positionH relativeFrom="column">
            <wp:posOffset>-876300</wp:posOffset>
          </wp:positionH>
          <wp:positionV relativeFrom="paragraph">
            <wp:posOffset>-430531</wp:posOffset>
          </wp:positionV>
          <wp:extent cx="10629900" cy="75151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id-19 - Statements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45218" cy="75259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564C9"/>
    <w:multiLevelType w:val="hybridMultilevel"/>
    <w:tmpl w:val="987EC32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 w15:restartNumberingAfterBreak="0">
    <w:nsid w:val="09386646"/>
    <w:multiLevelType w:val="hybridMultilevel"/>
    <w:tmpl w:val="959E71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8E0904"/>
    <w:multiLevelType w:val="hybridMultilevel"/>
    <w:tmpl w:val="3BBC2818"/>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171F4149"/>
    <w:multiLevelType w:val="hybridMultilevel"/>
    <w:tmpl w:val="BA2EF7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E12D70"/>
    <w:multiLevelType w:val="hybridMultilevel"/>
    <w:tmpl w:val="94DC2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9A2240B"/>
    <w:multiLevelType w:val="hybridMultilevel"/>
    <w:tmpl w:val="F4A4DD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DD2460C"/>
    <w:multiLevelType w:val="hybridMultilevel"/>
    <w:tmpl w:val="10FE28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21C4A4E"/>
    <w:multiLevelType w:val="hybridMultilevel"/>
    <w:tmpl w:val="B67C6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68E3C47"/>
    <w:multiLevelType w:val="multilevel"/>
    <w:tmpl w:val="64069614"/>
    <w:lvl w:ilvl="0">
      <w:start w:val="1"/>
      <w:numFmt w:val="decimal"/>
      <w:pStyle w:val="AppendixHeading"/>
      <w:suff w:val="nothing"/>
      <w:lvlText w:val="Appendix %1"/>
      <w:lvlJc w:val="left"/>
      <w:pPr>
        <w:ind w:left="0" w:firstLine="0"/>
      </w:pPr>
      <w:rPr>
        <w:rFonts w:ascii="Arial Bold" w:hAnsi="Arial Bold" w:hint="default"/>
        <w:b/>
        <w:i w:val="0"/>
        <w:caps/>
        <w:strike w:val="0"/>
        <w:dstrike w:val="0"/>
        <w:vanish w:val="0"/>
        <w:sz w:val="19"/>
        <w:vertAlign w:val="baseline"/>
      </w:rPr>
    </w:lvl>
    <w:lvl w:ilvl="1">
      <w:start w:val="1"/>
      <w:numFmt w:val="decimal"/>
      <w:pStyle w:val="AppendixPart"/>
      <w:suff w:val="nothing"/>
      <w:lvlText w:val="Part %2"/>
      <w:lvlJc w:val="left"/>
      <w:pPr>
        <w:ind w:left="0" w:firstLine="0"/>
      </w:pPr>
      <w:rPr>
        <w:rFonts w:ascii="Arial" w:hAnsi="Arial" w:hint="default"/>
        <w:b/>
        <w:i w:val="0"/>
        <w:caps w:val="0"/>
        <w:strike w:val="0"/>
        <w:dstrike w:val="0"/>
        <w:vanish w:val="0"/>
        <w:sz w:val="19"/>
        <w:vertAlign w:val="baseline"/>
      </w:rPr>
    </w:lvl>
    <w:lvl w:ilvl="2">
      <w:start w:val="1"/>
      <w:numFmt w:val="decimal"/>
      <w:pStyle w:val="Appendix1Number"/>
      <w:lvlText w:val="%3"/>
      <w:lvlJc w:val="left"/>
      <w:pPr>
        <w:ind w:left="624" w:hanging="624"/>
      </w:pPr>
      <w:rPr>
        <w:rFonts w:ascii="Arial" w:hAnsi="Arial" w:hint="default"/>
        <w:b w:val="0"/>
        <w:i w:val="0"/>
        <w:sz w:val="19"/>
      </w:rPr>
    </w:lvl>
    <w:lvl w:ilvl="3">
      <w:start w:val="1"/>
      <w:numFmt w:val="decimal"/>
      <w:pStyle w:val="Appendix2Number"/>
      <w:lvlText w:val="%3.%4"/>
      <w:lvlJc w:val="left"/>
      <w:pPr>
        <w:ind w:left="624" w:hanging="624"/>
      </w:pPr>
      <w:rPr>
        <w:rFonts w:ascii="Arial" w:hAnsi="Arial" w:hint="default"/>
        <w:b w:val="0"/>
        <w:i w:val="0"/>
        <w:caps w:val="0"/>
        <w:strike w:val="0"/>
        <w:dstrike w:val="0"/>
        <w:vanish w:val="0"/>
        <w:sz w:val="19"/>
        <w:vertAlign w:val="baseline"/>
      </w:rPr>
    </w:lvl>
    <w:lvl w:ilvl="4">
      <w:start w:val="1"/>
      <w:numFmt w:val="decimal"/>
      <w:pStyle w:val="Appendix3Number"/>
      <w:lvlText w:val="%3.%4.%5"/>
      <w:lvlJc w:val="left"/>
      <w:pPr>
        <w:ind w:left="1361" w:hanging="737"/>
      </w:pPr>
      <w:rPr>
        <w:rFonts w:ascii="Arial" w:hAnsi="Arial" w:hint="default"/>
        <w:b w:val="0"/>
        <w:i w:val="0"/>
        <w:caps w:val="0"/>
        <w:strike w:val="0"/>
        <w:dstrike w:val="0"/>
        <w:vanish w:val="0"/>
        <w:sz w:val="19"/>
        <w:vertAlign w:val="baseline"/>
      </w:rPr>
    </w:lvl>
    <w:lvl w:ilvl="5">
      <w:start w:val="1"/>
      <w:numFmt w:val="lowerLetter"/>
      <w:pStyle w:val="Appendix4Number"/>
      <w:lvlText w:val="(%6)"/>
      <w:lvlJc w:val="left"/>
      <w:pPr>
        <w:ind w:left="1814" w:hanging="453"/>
      </w:pPr>
      <w:rPr>
        <w:rFonts w:ascii="Arial" w:hAnsi="Arial" w:hint="default"/>
        <w:b w:val="0"/>
        <w:i w:val="0"/>
        <w:caps w:val="0"/>
        <w:strike w:val="0"/>
        <w:dstrike w:val="0"/>
        <w:vanish w:val="0"/>
        <w:sz w:val="19"/>
        <w:vertAlign w:val="baseline"/>
      </w:rPr>
    </w:lvl>
    <w:lvl w:ilvl="6">
      <w:start w:val="1"/>
      <w:numFmt w:val="lowerRoman"/>
      <w:pStyle w:val="Appendix5Number"/>
      <w:lvlText w:val="(%7)"/>
      <w:lvlJc w:val="left"/>
      <w:pPr>
        <w:ind w:left="2211" w:hanging="397"/>
      </w:pPr>
      <w:rPr>
        <w:rFonts w:ascii="Arial" w:hAnsi="Arial" w:hint="default"/>
        <w:b w:val="0"/>
        <w:i w:val="0"/>
        <w:caps w:val="0"/>
        <w:strike w:val="0"/>
        <w:dstrike w:val="0"/>
        <w:vanish w:val="0"/>
        <w:sz w:val="19"/>
        <w:vertAlign w:val="baseline"/>
      </w:rPr>
    </w:lvl>
    <w:lvl w:ilvl="7">
      <w:start w:val="1"/>
      <w:numFmt w:val="none"/>
      <w:lvlRestart w:val="0"/>
      <w:suff w:val="nothing"/>
      <w:lvlText w:val=""/>
      <w:lvlJc w:val="left"/>
      <w:pPr>
        <w:ind w:left="0" w:firstLine="0"/>
      </w:pPr>
      <w:rPr>
        <w:rFonts w:ascii="Arial" w:hAnsi="Arial" w:hint="default"/>
        <w:b w:val="0"/>
        <w:i w:val="0"/>
        <w:sz w:val="19"/>
      </w:rPr>
    </w:lvl>
    <w:lvl w:ilvl="8">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abstractNum>
  <w:abstractNum w:abstractNumId="9" w15:restartNumberingAfterBreak="0">
    <w:nsid w:val="276D30F9"/>
    <w:multiLevelType w:val="hybridMultilevel"/>
    <w:tmpl w:val="059EEEE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9E85B31"/>
    <w:multiLevelType w:val="hybridMultilevel"/>
    <w:tmpl w:val="833282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B300F39"/>
    <w:multiLevelType w:val="multilevel"/>
    <w:tmpl w:val="510EF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870739"/>
    <w:multiLevelType w:val="hybridMultilevel"/>
    <w:tmpl w:val="734EF0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0630EAE"/>
    <w:multiLevelType w:val="multilevel"/>
    <w:tmpl w:val="D1A0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7A2E8C"/>
    <w:multiLevelType w:val="hybridMultilevel"/>
    <w:tmpl w:val="D494BD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77014CE"/>
    <w:multiLevelType w:val="hybridMultilevel"/>
    <w:tmpl w:val="D4A2D6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8124B88"/>
    <w:multiLevelType w:val="multilevel"/>
    <w:tmpl w:val="9F027D4C"/>
    <w:lvl w:ilvl="0">
      <w:start w:val="1"/>
      <w:numFmt w:val="decimal"/>
      <w:pStyle w:val="ALGNo1"/>
      <w:lvlText w:val="%1"/>
      <w:lvlJc w:val="left"/>
      <w:pPr>
        <w:ind w:left="624" w:hanging="624"/>
      </w:pPr>
      <w:rPr>
        <w:rFonts w:ascii="Arial" w:hAnsi="Arial" w:hint="default"/>
        <w:b w:val="0"/>
        <w:i w:val="0"/>
        <w:caps w:val="0"/>
        <w:strike w:val="0"/>
        <w:dstrike w:val="0"/>
        <w:vanish w:val="0"/>
        <w:sz w:val="19"/>
        <w:vertAlign w:val="baseline"/>
      </w:rPr>
    </w:lvl>
    <w:lvl w:ilvl="1">
      <w:start w:val="1"/>
      <w:numFmt w:val="decimal"/>
      <w:pStyle w:val="ALGNo2"/>
      <w:lvlText w:val="%1.%2"/>
      <w:lvlJc w:val="left"/>
      <w:pPr>
        <w:ind w:left="624" w:hanging="624"/>
      </w:pPr>
      <w:rPr>
        <w:rFonts w:ascii="Arial" w:hAnsi="Arial" w:hint="default"/>
        <w:b w:val="0"/>
        <w:i w:val="0"/>
        <w:caps w:val="0"/>
        <w:strike w:val="0"/>
        <w:dstrike w:val="0"/>
        <w:vanish w:val="0"/>
        <w:sz w:val="19"/>
        <w:vertAlign w:val="baseline"/>
      </w:rPr>
    </w:lvl>
    <w:lvl w:ilvl="2">
      <w:start w:val="1"/>
      <w:numFmt w:val="decimal"/>
      <w:pStyle w:val="ALGNo3"/>
      <w:lvlText w:val="%1.%2.%3"/>
      <w:lvlJc w:val="left"/>
      <w:pPr>
        <w:ind w:left="1474" w:hanging="850"/>
      </w:pPr>
      <w:rPr>
        <w:rFonts w:ascii="Arial" w:hAnsi="Arial" w:hint="default"/>
        <w:b w:val="0"/>
        <w:i w:val="0"/>
        <w:caps w:val="0"/>
        <w:strike w:val="0"/>
        <w:dstrike w:val="0"/>
        <w:vanish w:val="0"/>
        <w:sz w:val="19"/>
        <w:vertAlign w:val="baseline"/>
      </w:rPr>
    </w:lvl>
    <w:lvl w:ilvl="3">
      <w:start w:val="1"/>
      <w:numFmt w:val="lowerLetter"/>
      <w:pStyle w:val="ALGNo4"/>
      <w:lvlText w:val="(%4)"/>
      <w:lvlJc w:val="left"/>
      <w:pPr>
        <w:ind w:left="1814" w:hanging="340"/>
      </w:pPr>
      <w:rPr>
        <w:rFonts w:ascii="Arial" w:hAnsi="Arial" w:hint="default"/>
        <w:b w:val="0"/>
        <w:i w:val="0"/>
        <w:caps w:val="0"/>
        <w:strike w:val="0"/>
        <w:dstrike w:val="0"/>
        <w:vanish w:val="0"/>
        <w:sz w:val="19"/>
        <w:vertAlign w:val="baseline"/>
      </w:rPr>
    </w:lvl>
    <w:lvl w:ilvl="4">
      <w:start w:val="1"/>
      <w:numFmt w:val="lowerRoman"/>
      <w:pStyle w:val="ALGNo5"/>
      <w:lvlText w:val="(%5)"/>
      <w:lvlJc w:val="left"/>
      <w:pPr>
        <w:ind w:left="2268" w:hanging="454"/>
      </w:pPr>
      <w:rPr>
        <w:rFonts w:ascii="Arial" w:hAnsi="Arial" w:hint="default"/>
        <w:b w:val="0"/>
        <w:i w:val="0"/>
        <w:caps w:val="0"/>
        <w:strike w:val="0"/>
        <w:dstrike w:val="0"/>
        <w:vanish w:val="0"/>
        <w:sz w:val="19"/>
        <w:vertAlign w:val="baseline"/>
      </w:rPr>
    </w:lvl>
    <w:lvl w:ilvl="5">
      <w:start w:val="1"/>
      <w:numFmt w:val="upperLetter"/>
      <w:pStyle w:val="ALGNo6"/>
      <w:lvlText w:val="(%6)"/>
      <w:lvlJc w:val="left"/>
      <w:pPr>
        <w:ind w:left="2552" w:hanging="341"/>
      </w:pPr>
      <w:rPr>
        <w:rFonts w:ascii="Arial" w:hAnsi="Arial" w:hint="default"/>
        <w:b w:val="0"/>
        <w:i w:val="0"/>
        <w:caps w:val="0"/>
        <w:strike w:val="0"/>
        <w:dstrike w:val="0"/>
        <w:vanish w:val="0"/>
        <w:sz w:val="19"/>
        <w:vertAlign w:val="baseline"/>
      </w:rPr>
    </w:lvl>
    <w:lvl w:ilvl="6">
      <w:start w:val="1"/>
      <w:numFmt w:val="decimal"/>
      <w:pStyle w:val="ALGNo7"/>
      <w:lvlText w:val="(%7)"/>
      <w:lvlJc w:val="left"/>
      <w:pPr>
        <w:ind w:left="2948" w:hanging="340"/>
      </w:pPr>
      <w:rPr>
        <w:rFonts w:ascii="Arial" w:hAnsi="Arial" w:hint="default"/>
        <w:b w:val="0"/>
        <w:i w:val="0"/>
        <w:caps w:val="0"/>
        <w:strike w:val="0"/>
        <w:dstrike w:val="0"/>
        <w:vanish w:val="0"/>
        <w:sz w:val="19"/>
        <w:vertAlign w:val="baseline"/>
      </w:rPr>
    </w:lvl>
    <w:lvl w:ilvl="7">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8">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abstractNum>
  <w:abstractNum w:abstractNumId="17" w15:restartNumberingAfterBreak="0">
    <w:nsid w:val="382C3F96"/>
    <w:multiLevelType w:val="multilevel"/>
    <w:tmpl w:val="8AA42982"/>
    <w:lvl w:ilvl="0">
      <w:start w:val="1"/>
      <w:numFmt w:val="bullet"/>
      <w:pStyle w:val="BulletL1"/>
      <w:lvlText w:val=""/>
      <w:lvlJc w:val="left"/>
      <w:pPr>
        <w:ind w:left="624" w:hanging="624"/>
      </w:pPr>
      <w:rPr>
        <w:rFonts w:ascii="Symbol" w:hAnsi="Symbol" w:hint="default"/>
        <w:b w:val="0"/>
        <w:i w:val="0"/>
        <w:caps w:val="0"/>
        <w:strike w:val="0"/>
        <w:dstrike w:val="0"/>
        <w:vanish w:val="0"/>
        <w:color w:val="auto"/>
        <w:sz w:val="19"/>
        <w:vertAlign w:val="baseline"/>
      </w:rPr>
    </w:lvl>
    <w:lvl w:ilvl="1">
      <w:start w:val="1"/>
      <w:numFmt w:val="bullet"/>
      <w:lvlRestart w:val="0"/>
      <w:pStyle w:val="BulletL2"/>
      <w:lvlText w:val=""/>
      <w:lvlJc w:val="left"/>
      <w:pPr>
        <w:tabs>
          <w:tab w:val="num" w:pos="624"/>
        </w:tabs>
        <w:ind w:left="1361" w:hanging="737"/>
      </w:pPr>
      <w:rPr>
        <w:rFonts w:ascii="Symbol" w:hAnsi="Symbol" w:hint="default"/>
        <w:b w:val="0"/>
        <w:i w:val="0"/>
        <w:caps w:val="0"/>
        <w:strike w:val="0"/>
        <w:dstrike w:val="0"/>
        <w:vanish w:val="0"/>
        <w:color w:val="auto"/>
        <w:sz w:val="19"/>
        <w:vertAlign w:val="baseline"/>
      </w:rPr>
    </w:lvl>
    <w:lvl w:ilvl="2">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3">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4">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5">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6">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7">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8">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abstractNum>
  <w:abstractNum w:abstractNumId="18" w15:restartNumberingAfterBreak="0">
    <w:nsid w:val="3A330583"/>
    <w:multiLevelType w:val="hybridMultilevel"/>
    <w:tmpl w:val="0848311A"/>
    <w:lvl w:ilvl="0" w:tplc="335E1654">
      <w:start w:val="1"/>
      <w:numFmt w:val="bullet"/>
      <w:lvlText w:val=""/>
      <w:lvlJc w:val="left"/>
      <w:pPr>
        <w:ind w:left="1080" w:hanging="720"/>
      </w:pPr>
      <w:rPr>
        <w:rFonts w:ascii="Wingdings" w:hAnsi="Wing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A5F15ED"/>
    <w:multiLevelType w:val="multilevel"/>
    <w:tmpl w:val="B31E0B3C"/>
    <w:lvl w:ilvl="0">
      <w:start w:val="1"/>
      <w:numFmt w:val="decimal"/>
      <w:pStyle w:val="ScheduleHeading"/>
      <w:suff w:val="nothing"/>
      <w:lvlText w:val="Schedule %1"/>
      <w:lvlJc w:val="left"/>
      <w:pPr>
        <w:ind w:left="0" w:firstLine="0"/>
      </w:pPr>
      <w:rPr>
        <w:rFonts w:ascii="Arial" w:hAnsi="Arial" w:hint="default"/>
        <w:b/>
        <w:i w:val="0"/>
        <w:caps/>
        <w:strike w:val="0"/>
        <w:dstrike w:val="0"/>
        <w:vanish w:val="0"/>
        <w:sz w:val="19"/>
        <w:vertAlign w:val="baseline"/>
      </w:rPr>
    </w:lvl>
    <w:lvl w:ilvl="1">
      <w:start w:val="1"/>
      <w:numFmt w:val="decimal"/>
      <w:pStyle w:val="SchedulePart"/>
      <w:suff w:val="nothing"/>
      <w:lvlText w:val="Part %2  "/>
      <w:lvlJc w:val="left"/>
      <w:pPr>
        <w:ind w:left="0" w:firstLine="0"/>
      </w:pPr>
      <w:rPr>
        <w:rFonts w:hint="default"/>
      </w:rPr>
    </w:lvl>
    <w:lvl w:ilvl="2">
      <w:start w:val="1"/>
      <w:numFmt w:val="decimal"/>
      <w:lvlRestart w:val="1"/>
      <w:pStyle w:val="Schedule1Number"/>
      <w:lvlText w:val="%3"/>
      <w:lvlJc w:val="left"/>
      <w:pPr>
        <w:ind w:left="624" w:hanging="624"/>
      </w:pPr>
      <w:rPr>
        <w:rFonts w:ascii="Arial" w:hAnsi="Arial" w:hint="default"/>
        <w:b w:val="0"/>
        <w:i w:val="0"/>
        <w:caps w:val="0"/>
        <w:strike w:val="0"/>
        <w:dstrike w:val="0"/>
        <w:vanish w:val="0"/>
        <w:sz w:val="19"/>
        <w:vertAlign w:val="baseline"/>
      </w:rPr>
    </w:lvl>
    <w:lvl w:ilvl="3">
      <w:start w:val="1"/>
      <w:numFmt w:val="decimal"/>
      <w:pStyle w:val="Schedule2Number"/>
      <w:lvlText w:val="%3.%4"/>
      <w:lvlJc w:val="left"/>
      <w:pPr>
        <w:ind w:left="624" w:hanging="624"/>
      </w:pPr>
      <w:rPr>
        <w:rFonts w:ascii="Arial" w:hAnsi="Arial" w:hint="default"/>
        <w:b w:val="0"/>
        <w:i w:val="0"/>
        <w:sz w:val="19"/>
      </w:rPr>
    </w:lvl>
    <w:lvl w:ilvl="4">
      <w:start w:val="1"/>
      <w:numFmt w:val="decimal"/>
      <w:pStyle w:val="Schedule3Number"/>
      <w:lvlText w:val="%3.%4.%5"/>
      <w:lvlJc w:val="left"/>
      <w:pPr>
        <w:ind w:left="1474" w:hanging="850"/>
      </w:pPr>
      <w:rPr>
        <w:rFonts w:ascii="Arial" w:hAnsi="Arial" w:hint="default"/>
        <w:b w:val="0"/>
        <w:i w:val="0"/>
        <w:sz w:val="19"/>
      </w:rPr>
    </w:lvl>
    <w:lvl w:ilvl="5">
      <w:start w:val="1"/>
      <w:numFmt w:val="lowerLetter"/>
      <w:pStyle w:val="Schedule4Number"/>
      <w:lvlText w:val="(%6)"/>
      <w:lvlJc w:val="left"/>
      <w:pPr>
        <w:ind w:left="1814" w:hanging="340"/>
      </w:pPr>
      <w:rPr>
        <w:rFonts w:ascii="Arial" w:hAnsi="Arial" w:hint="default"/>
        <w:b w:val="0"/>
        <w:i w:val="0"/>
        <w:sz w:val="19"/>
      </w:rPr>
    </w:lvl>
    <w:lvl w:ilvl="6">
      <w:start w:val="1"/>
      <w:numFmt w:val="lowerRoman"/>
      <w:pStyle w:val="Schedule5Number"/>
      <w:lvlText w:val="(%7)"/>
      <w:lvlJc w:val="left"/>
      <w:pPr>
        <w:ind w:left="2155" w:hanging="341"/>
      </w:pPr>
      <w:rPr>
        <w:rFonts w:ascii="Arial" w:hAnsi="Arial" w:hint="default"/>
        <w:b w:val="0"/>
        <w:i w:val="0"/>
        <w:sz w:val="19"/>
      </w:rPr>
    </w:lvl>
    <w:lvl w:ilvl="7">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8">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abstractNum>
  <w:abstractNum w:abstractNumId="20" w15:restartNumberingAfterBreak="0">
    <w:nsid w:val="3E65693D"/>
    <w:multiLevelType w:val="hybridMultilevel"/>
    <w:tmpl w:val="4FA615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FF02991"/>
    <w:multiLevelType w:val="multilevel"/>
    <w:tmpl w:val="4322C77C"/>
    <w:lvl w:ilvl="0">
      <w:start w:val="1"/>
      <w:numFmt w:val="none"/>
      <w:pStyle w:val="Definition"/>
      <w:suff w:val="nothing"/>
      <w:lvlText w:val=""/>
      <w:lvlJc w:val="left"/>
      <w:pPr>
        <w:ind w:left="624" w:firstLine="0"/>
      </w:pPr>
      <w:rPr>
        <w:rFonts w:ascii="Arial" w:hAnsi="Arial" w:hint="default"/>
        <w:b w:val="0"/>
        <w:i w:val="0"/>
        <w:caps w:val="0"/>
        <w:strike w:val="0"/>
        <w:dstrike w:val="0"/>
        <w:vanish w:val="0"/>
        <w:sz w:val="19"/>
        <w:vertAlign w:val="baseline"/>
      </w:rPr>
    </w:lvl>
    <w:lvl w:ilvl="1">
      <w:start w:val="1"/>
      <w:numFmt w:val="lowerLetter"/>
      <w:pStyle w:val="Definitiona"/>
      <w:lvlText w:val="%1(%2)"/>
      <w:lvlJc w:val="left"/>
      <w:pPr>
        <w:ind w:left="1361" w:hanging="737"/>
      </w:pPr>
      <w:rPr>
        <w:rFonts w:ascii="Arial" w:hAnsi="Arial" w:hint="default"/>
        <w:b w:val="0"/>
        <w:i w:val="0"/>
        <w:caps w:val="0"/>
        <w:strike w:val="0"/>
        <w:dstrike w:val="0"/>
        <w:vanish w:val="0"/>
        <w:sz w:val="19"/>
        <w:vertAlign w:val="baseline"/>
      </w:rPr>
    </w:lvl>
    <w:lvl w:ilvl="2">
      <w:start w:val="1"/>
      <w:numFmt w:val="lowerRoman"/>
      <w:pStyle w:val="Definitioni"/>
      <w:lvlText w:val="%1(%3)"/>
      <w:lvlJc w:val="left"/>
      <w:pPr>
        <w:ind w:left="1814" w:hanging="453"/>
      </w:pPr>
      <w:rPr>
        <w:rFonts w:ascii="Arial" w:hAnsi="Arial" w:hint="default"/>
        <w:b w:val="0"/>
        <w:i w:val="0"/>
        <w:caps w:val="0"/>
        <w:strike w:val="0"/>
        <w:dstrike w:val="0"/>
        <w:vanish w:val="0"/>
        <w:sz w:val="19"/>
        <w:vertAlign w:val="baseline"/>
      </w:rPr>
    </w:lvl>
    <w:lvl w:ilvl="3">
      <w:start w:val="1"/>
      <w:numFmt w:val="upperLetter"/>
      <w:pStyle w:val="DefinitionA0"/>
      <w:lvlText w:val="%1(%4)"/>
      <w:lvlJc w:val="left"/>
      <w:pPr>
        <w:ind w:left="2211" w:hanging="397"/>
      </w:pPr>
      <w:rPr>
        <w:rFonts w:ascii="Arial" w:hAnsi="Arial" w:hint="default"/>
        <w:b w:val="0"/>
        <w:i w:val="0"/>
        <w:caps w:val="0"/>
        <w:strike w:val="0"/>
        <w:dstrike w:val="0"/>
        <w:vanish w:val="0"/>
        <w:sz w:val="19"/>
        <w:vertAlign w:val="baseline"/>
      </w:rPr>
    </w:lvl>
    <w:lvl w:ilvl="4">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5">
      <w:start w:val="1"/>
      <w:numFmt w:val="none"/>
      <w:lvlRestart w:val="0"/>
      <w:suff w:val="nothing"/>
      <w:lvlText w:val="%6%1"/>
      <w:lvlJc w:val="left"/>
      <w:pPr>
        <w:ind w:left="0" w:firstLine="0"/>
      </w:pPr>
      <w:rPr>
        <w:rFonts w:ascii="Arial" w:hAnsi="Arial" w:hint="default"/>
        <w:b w:val="0"/>
        <w:i w:val="0"/>
        <w:caps w:val="0"/>
        <w:strike w:val="0"/>
        <w:dstrike w:val="0"/>
        <w:vanish w:val="0"/>
        <w:sz w:val="19"/>
        <w:vertAlign w:val="baseline"/>
      </w:rPr>
    </w:lvl>
    <w:lvl w:ilvl="6">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7">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8">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abstractNum>
  <w:abstractNum w:abstractNumId="22" w15:restartNumberingAfterBreak="0">
    <w:nsid w:val="40635629"/>
    <w:multiLevelType w:val="multilevel"/>
    <w:tmpl w:val="4B4C20CE"/>
    <w:name w:val="Parties"/>
    <w:lvl w:ilvl="0">
      <w:start w:val="1"/>
      <w:numFmt w:val="decimal"/>
      <w:pStyle w:val="Parties"/>
      <w:lvlText w:val="(%1)"/>
      <w:lvlJc w:val="left"/>
      <w:pPr>
        <w:ind w:left="624" w:hanging="624"/>
      </w:pPr>
      <w:rPr>
        <w:rFonts w:ascii="Arial" w:hAnsi="Arial" w:hint="default"/>
        <w:b w:val="0"/>
        <w:i w:val="0"/>
        <w:caps w:val="0"/>
        <w:strike w:val="0"/>
        <w:dstrike w:val="0"/>
        <w:vanish w:val="0"/>
        <w:sz w:val="19"/>
        <w:vertAlign w:val="baseline"/>
      </w:rPr>
    </w:lvl>
    <w:lvl w:ilvl="1">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2">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3">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4">
      <w:start w:val="1"/>
      <w:numFmt w:val="none"/>
      <w:lvlRestart w:val="0"/>
      <w:suff w:val="nothing"/>
      <w:lvlText w:val=""/>
      <w:lvlJc w:val="left"/>
      <w:pPr>
        <w:ind w:left="0" w:firstLine="0"/>
      </w:pPr>
      <w:rPr>
        <w:rFonts w:ascii="Arial" w:hAnsi="Arial" w:hint="default"/>
        <w:b w:val="0"/>
        <w:i w:val="0"/>
        <w:sz w:val="19"/>
      </w:rPr>
    </w:lvl>
    <w:lvl w:ilvl="5">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6">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7">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8">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abstractNum>
  <w:abstractNum w:abstractNumId="23" w15:restartNumberingAfterBreak="0">
    <w:nsid w:val="42F4598F"/>
    <w:multiLevelType w:val="hybridMultilevel"/>
    <w:tmpl w:val="3D262AA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5EA5DF9"/>
    <w:multiLevelType w:val="hybridMultilevel"/>
    <w:tmpl w:val="EBF49D1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6E17455"/>
    <w:multiLevelType w:val="hybridMultilevel"/>
    <w:tmpl w:val="7826DD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97D17D6"/>
    <w:multiLevelType w:val="hybridMultilevel"/>
    <w:tmpl w:val="6464DA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4E682DEC"/>
    <w:multiLevelType w:val="hybridMultilevel"/>
    <w:tmpl w:val="71122E72"/>
    <w:lvl w:ilvl="0" w:tplc="7E1EA9D2">
      <w:start w:val="1"/>
      <w:numFmt w:val="decimal"/>
      <w:pStyle w:val="PrecNote1"/>
      <w:lvlText w:val="%1"/>
      <w:lvlJc w:val="left"/>
      <w:pPr>
        <w:ind w:left="720" w:hanging="360"/>
      </w:pPr>
      <w:rPr>
        <w:rFonts w:hint="default"/>
        <w:sz w:val="1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ECD5E75"/>
    <w:multiLevelType w:val="hybridMultilevel"/>
    <w:tmpl w:val="F014D3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0311CD7"/>
    <w:multiLevelType w:val="hybridMultilevel"/>
    <w:tmpl w:val="271A78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3565EFD"/>
    <w:multiLevelType w:val="hybridMultilevel"/>
    <w:tmpl w:val="FCB43B9C"/>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540A4537"/>
    <w:multiLevelType w:val="hybridMultilevel"/>
    <w:tmpl w:val="FFDC505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2" w15:restartNumberingAfterBreak="0">
    <w:nsid w:val="5BE474FB"/>
    <w:multiLevelType w:val="hybridMultilevel"/>
    <w:tmpl w:val="268C3A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64514964"/>
    <w:multiLevelType w:val="multilevel"/>
    <w:tmpl w:val="98B4C868"/>
    <w:name w:val="Recitals"/>
    <w:lvl w:ilvl="0">
      <w:start w:val="1"/>
      <w:numFmt w:val="upperLetter"/>
      <w:pStyle w:val="RecitalsA"/>
      <w:lvlText w:val="(%1)"/>
      <w:lvlJc w:val="left"/>
      <w:pPr>
        <w:ind w:left="624" w:hanging="624"/>
      </w:pPr>
      <w:rPr>
        <w:rFonts w:ascii="Arial" w:hAnsi="Arial" w:hint="default"/>
        <w:b w:val="0"/>
        <w:i w:val="0"/>
        <w:caps w:val="0"/>
        <w:strike w:val="0"/>
        <w:dstrike w:val="0"/>
        <w:vanish w:val="0"/>
        <w:sz w:val="19"/>
        <w:vertAlign w:val="baseline"/>
      </w:rPr>
    </w:lvl>
    <w:lvl w:ilvl="1">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2">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3">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4">
      <w:start w:val="1"/>
      <w:numFmt w:val="none"/>
      <w:lvlRestart w:val="0"/>
      <w:suff w:val="nothing"/>
      <w:lvlText w:val=""/>
      <w:lvlJc w:val="left"/>
      <w:pPr>
        <w:ind w:left="0" w:firstLine="0"/>
      </w:pPr>
      <w:rPr>
        <w:rFonts w:ascii="Arial" w:hAnsi="Arial" w:hint="default"/>
        <w:b w:val="0"/>
        <w:i w:val="0"/>
        <w:sz w:val="19"/>
      </w:rPr>
    </w:lvl>
    <w:lvl w:ilvl="5">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6">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7">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lvl w:ilvl="8">
      <w:start w:val="1"/>
      <w:numFmt w:val="none"/>
      <w:lvlRestart w:val="0"/>
      <w:suff w:val="nothing"/>
      <w:lvlText w:val=""/>
      <w:lvlJc w:val="left"/>
      <w:pPr>
        <w:ind w:left="0" w:firstLine="0"/>
      </w:pPr>
      <w:rPr>
        <w:rFonts w:ascii="Arial" w:hAnsi="Arial" w:hint="default"/>
        <w:b w:val="0"/>
        <w:i w:val="0"/>
        <w:caps w:val="0"/>
        <w:strike w:val="0"/>
        <w:dstrike w:val="0"/>
        <w:vanish w:val="0"/>
        <w:sz w:val="19"/>
        <w:vertAlign w:val="baseline"/>
      </w:rPr>
    </w:lvl>
  </w:abstractNum>
  <w:abstractNum w:abstractNumId="34" w15:restartNumberingAfterBreak="0">
    <w:nsid w:val="65F65EFF"/>
    <w:multiLevelType w:val="hybridMultilevel"/>
    <w:tmpl w:val="588455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5" w15:restartNumberingAfterBreak="0">
    <w:nsid w:val="684608B5"/>
    <w:multiLevelType w:val="hybridMultilevel"/>
    <w:tmpl w:val="63CAC97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6" w15:restartNumberingAfterBreak="0">
    <w:nsid w:val="68927776"/>
    <w:multiLevelType w:val="hybridMultilevel"/>
    <w:tmpl w:val="7974C0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41A664C"/>
    <w:multiLevelType w:val="hybridMultilevel"/>
    <w:tmpl w:val="C3144C98"/>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 w15:restartNumberingAfterBreak="0">
    <w:nsid w:val="7AE32BE7"/>
    <w:multiLevelType w:val="hybridMultilevel"/>
    <w:tmpl w:val="E73EEB80"/>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7"/>
  </w:num>
  <w:num w:numId="4">
    <w:abstractNumId w:val="21"/>
  </w:num>
  <w:num w:numId="5">
    <w:abstractNumId w:val="22"/>
  </w:num>
  <w:num w:numId="6">
    <w:abstractNumId w:val="27"/>
  </w:num>
  <w:num w:numId="7">
    <w:abstractNumId w:val="33"/>
  </w:num>
  <w:num w:numId="8">
    <w:abstractNumId w:val="19"/>
  </w:num>
  <w:num w:numId="9">
    <w:abstractNumId w:val="37"/>
  </w:num>
  <w:num w:numId="10">
    <w:abstractNumId w:val="30"/>
  </w:num>
  <w:num w:numId="11">
    <w:abstractNumId w:val="2"/>
  </w:num>
  <w:num w:numId="12">
    <w:abstractNumId w:val="38"/>
  </w:num>
  <w:num w:numId="13">
    <w:abstractNumId w:val="23"/>
  </w:num>
  <w:num w:numId="14">
    <w:abstractNumId w:val="20"/>
  </w:num>
  <w:num w:numId="15">
    <w:abstractNumId w:val="36"/>
  </w:num>
  <w:num w:numId="16">
    <w:abstractNumId w:val="25"/>
  </w:num>
  <w:num w:numId="17">
    <w:abstractNumId w:val="18"/>
  </w:num>
  <w:num w:numId="18">
    <w:abstractNumId w:val="9"/>
  </w:num>
  <w:num w:numId="19">
    <w:abstractNumId w:val="1"/>
  </w:num>
  <w:num w:numId="20">
    <w:abstractNumId w:val="24"/>
  </w:num>
  <w:num w:numId="21">
    <w:abstractNumId w:val="29"/>
  </w:num>
  <w:num w:numId="22">
    <w:abstractNumId w:val="28"/>
  </w:num>
  <w:num w:numId="23">
    <w:abstractNumId w:val="6"/>
  </w:num>
  <w:num w:numId="24">
    <w:abstractNumId w:val="11"/>
  </w:num>
  <w:num w:numId="25">
    <w:abstractNumId w:val="26"/>
  </w:num>
  <w:num w:numId="26">
    <w:abstractNumId w:val="0"/>
  </w:num>
  <w:num w:numId="27">
    <w:abstractNumId w:val="10"/>
  </w:num>
  <w:num w:numId="28">
    <w:abstractNumId w:val="32"/>
  </w:num>
  <w:num w:numId="29">
    <w:abstractNumId w:val="14"/>
  </w:num>
  <w:num w:numId="30">
    <w:abstractNumId w:val="5"/>
  </w:num>
  <w:num w:numId="31">
    <w:abstractNumId w:val="7"/>
  </w:num>
  <w:num w:numId="32">
    <w:abstractNumId w:val="15"/>
  </w:num>
  <w:num w:numId="33">
    <w:abstractNumId w:val="4"/>
  </w:num>
  <w:num w:numId="34">
    <w:abstractNumId w:val="3"/>
  </w:num>
  <w:num w:numId="35">
    <w:abstractNumId w:val="34"/>
  </w:num>
  <w:num w:numId="36">
    <w:abstractNumId w:val="31"/>
  </w:num>
  <w:num w:numId="37">
    <w:abstractNumId w:val="35"/>
  </w:num>
  <w:num w:numId="38">
    <w:abstractNumId w:val="13"/>
  </w:num>
  <w:num w:numId="39">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203"/>
    <w:rsid w:val="00001251"/>
    <w:rsid w:val="0000162C"/>
    <w:rsid w:val="0000165E"/>
    <w:rsid w:val="00002C11"/>
    <w:rsid w:val="00003779"/>
    <w:rsid w:val="00003826"/>
    <w:rsid w:val="00014C3A"/>
    <w:rsid w:val="0001629E"/>
    <w:rsid w:val="0001631E"/>
    <w:rsid w:val="000218B2"/>
    <w:rsid w:val="0002450E"/>
    <w:rsid w:val="00025D41"/>
    <w:rsid w:val="000326CA"/>
    <w:rsid w:val="000368D2"/>
    <w:rsid w:val="000433D1"/>
    <w:rsid w:val="00045B15"/>
    <w:rsid w:val="0005105B"/>
    <w:rsid w:val="00055961"/>
    <w:rsid w:val="00056E93"/>
    <w:rsid w:val="00056ED0"/>
    <w:rsid w:val="0006038D"/>
    <w:rsid w:val="00062919"/>
    <w:rsid w:val="00064417"/>
    <w:rsid w:val="0006639B"/>
    <w:rsid w:val="00066E12"/>
    <w:rsid w:val="00071F80"/>
    <w:rsid w:val="0007672E"/>
    <w:rsid w:val="00076D0D"/>
    <w:rsid w:val="00080B87"/>
    <w:rsid w:val="00081566"/>
    <w:rsid w:val="00083999"/>
    <w:rsid w:val="00083F36"/>
    <w:rsid w:val="00085005"/>
    <w:rsid w:val="0008530D"/>
    <w:rsid w:val="00085DDA"/>
    <w:rsid w:val="00087726"/>
    <w:rsid w:val="0009624F"/>
    <w:rsid w:val="000977D7"/>
    <w:rsid w:val="000A436D"/>
    <w:rsid w:val="000A4DC5"/>
    <w:rsid w:val="000B065B"/>
    <w:rsid w:val="000B46D8"/>
    <w:rsid w:val="000B51AF"/>
    <w:rsid w:val="000B5659"/>
    <w:rsid w:val="000B56A4"/>
    <w:rsid w:val="000B6358"/>
    <w:rsid w:val="000C0A92"/>
    <w:rsid w:val="000C1404"/>
    <w:rsid w:val="000C1779"/>
    <w:rsid w:val="000C5F84"/>
    <w:rsid w:val="000C6559"/>
    <w:rsid w:val="000C6887"/>
    <w:rsid w:val="000C7E91"/>
    <w:rsid w:val="000D5894"/>
    <w:rsid w:val="000E2295"/>
    <w:rsid w:val="000E2730"/>
    <w:rsid w:val="000E36E7"/>
    <w:rsid w:val="000F30AE"/>
    <w:rsid w:val="000F5EC8"/>
    <w:rsid w:val="00103792"/>
    <w:rsid w:val="00110DD3"/>
    <w:rsid w:val="00113881"/>
    <w:rsid w:val="00116E57"/>
    <w:rsid w:val="001175A6"/>
    <w:rsid w:val="00121999"/>
    <w:rsid w:val="001222C7"/>
    <w:rsid w:val="00125C13"/>
    <w:rsid w:val="00126322"/>
    <w:rsid w:val="00126576"/>
    <w:rsid w:val="00126711"/>
    <w:rsid w:val="0013027A"/>
    <w:rsid w:val="00136F81"/>
    <w:rsid w:val="00146F35"/>
    <w:rsid w:val="00147BE1"/>
    <w:rsid w:val="0015036D"/>
    <w:rsid w:val="00153734"/>
    <w:rsid w:val="00156A34"/>
    <w:rsid w:val="00157270"/>
    <w:rsid w:val="00157992"/>
    <w:rsid w:val="00160A3D"/>
    <w:rsid w:val="00162978"/>
    <w:rsid w:val="00166D67"/>
    <w:rsid w:val="001701F9"/>
    <w:rsid w:val="00170C36"/>
    <w:rsid w:val="0017233B"/>
    <w:rsid w:val="00172DF2"/>
    <w:rsid w:val="00173209"/>
    <w:rsid w:val="00173884"/>
    <w:rsid w:val="00176170"/>
    <w:rsid w:val="001848A6"/>
    <w:rsid w:val="00185548"/>
    <w:rsid w:val="00190A1F"/>
    <w:rsid w:val="001933CF"/>
    <w:rsid w:val="001973D5"/>
    <w:rsid w:val="001A05C6"/>
    <w:rsid w:val="001A0964"/>
    <w:rsid w:val="001A1DB9"/>
    <w:rsid w:val="001B1561"/>
    <w:rsid w:val="001B661A"/>
    <w:rsid w:val="001B6CF3"/>
    <w:rsid w:val="001C11A7"/>
    <w:rsid w:val="001C1521"/>
    <w:rsid w:val="001C23BE"/>
    <w:rsid w:val="001C273E"/>
    <w:rsid w:val="001C278A"/>
    <w:rsid w:val="001C3212"/>
    <w:rsid w:val="001C6CE8"/>
    <w:rsid w:val="001D00FF"/>
    <w:rsid w:val="001D26BB"/>
    <w:rsid w:val="001D6AAD"/>
    <w:rsid w:val="001E2E6D"/>
    <w:rsid w:val="001E303E"/>
    <w:rsid w:val="001E597B"/>
    <w:rsid w:val="001F1ABC"/>
    <w:rsid w:val="001F20A2"/>
    <w:rsid w:val="00201929"/>
    <w:rsid w:val="002057FE"/>
    <w:rsid w:val="0021210D"/>
    <w:rsid w:val="00212ECF"/>
    <w:rsid w:val="002229FD"/>
    <w:rsid w:val="0022352A"/>
    <w:rsid w:val="002236EC"/>
    <w:rsid w:val="00226012"/>
    <w:rsid w:val="00231454"/>
    <w:rsid w:val="00236E2F"/>
    <w:rsid w:val="002377FC"/>
    <w:rsid w:val="00240EE9"/>
    <w:rsid w:val="00241D89"/>
    <w:rsid w:val="00246D56"/>
    <w:rsid w:val="0025307C"/>
    <w:rsid w:val="0025686F"/>
    <w:rsid w:val="00257137"/>
    <w:rsid w:val="00257187"/>
    <w:rsid w:val="002607F2"/>
    <w:rsid w:val="00263C38"/>
    <w:rsid w:val="00264CB3"/>
    <w:rsid w:val="0026683F"/>
    <w:rsid w:val="002670E4"/>
    <w:rsid w:val="00272155"/>
    <w:rsid w:val="00273A67"/>
    <w:rsid w:val="00274F98"/>
    <w:rsid w:val="00277081"/>
    <w:rsid w:val="00277171"/>
    <w:rsid w:val="0028002E"/>
    <w:rsid w:val="00284DA3"/>
    <w:rsid w:val="00287460"/>
    <w:rsid w:val="002A08BC"/>
    <w:rsid w:val="002A50DA"/>
    <w:rsid w:val="002B5223"/>
    <w:rsid w:val="002B791A"/>
    <w:rsid w:val="002C624E"/>
    <w:rsid w:val="002C7904"/>
    <w:rsid w:val="002C7EA3"/>
    <w:rsid w:val="002D152F"/>
    <w:rsid w:val="002D5DED"/>
    <w:rsid w:val="002E2F9E"/>
    <w:rsid w:val="002E6F10"/>
    <w:rsid w:val="002E7119"/>
    <w:rsid w:val="002F1AD6"/>
    <w:rsid w:val="002F6F6A"/>
    <w:rsid w:val="00303BBB"/>
    <w:rsid w:val="00307598"/>
    <w:rsid w:val="00307BBC"/>
    <w:rsid w:val="00315289"/>
    <w:rsid w:val="00315D62"/>
    <w:rsid w:val="0031686F"/>
    <w:rsid w:val="003205A2"/>
    <w:rsid w:val="00320D67"/>
    <w:rsid w:val="00321D49"/>
    <w:rsid w:val="00323771"/>
    <w:rsid w:val="00324AD5"/>
    <w:rsid w:val="00335B4D"/>
    <w:rsid w:val="003366D9"/>
    <w:rsid w:val="0033713A"/>
    <w:rsid w:val="00344869"/>
    <w:rsid w:val="00355EC5"/>
    <w:rsid w:val="003573DD"/>
    <w:rsid w:val="00357B8D"/>
    <w:rsid w:val="00360622"/>
    <w:rsid w:val="0036079E"/>
    <w:rsid w:val="00360E7E"/>
    <w:rsid w:val="00361D03"/>
    <w:rsid w:val="003622AF"/>
    <w:rsid w:val="00365DF9"/>
    <w:rsid w:val="00366663"/>
    <w:rsid w:val="0036703A"/>
    <w:rsid w:val="00370C21"/>
    <w:rsid w:val="003749EC"/>
    <w:rsid w:val="003779A0"/>
    <w:rsid w:val="0039440B"/>
    <w:rsid w:val="00395F7D"/>
    <w:rsid w:val="003A0D8A"/>
    <w:rsid w:val="003A5CB0"/>
    <w:rsid w:val="003A7881"/>
    <w:rsid w:val="003B56AF"/>
    <w:rsid w:val="003B682C"/>
    <w:rsid w:val="003B683E"/>
    <w:rsid w:val="003B7059"/>
    <w:rsid w:val="003B7124"/>
    <w:rsid w:val="003C3B6A"/>
    <w:rsid w:val="003C3B86"/>
    <w:rsid w:val="003C4D08"/>
    <w:rsid w:val="003C4FE6"/>
    <w:rsid w:val="003C6C7B"/>
    <w:rsid w:val="003D290A"/>
    <w:rsid w:val="003D2F8B"/>
    <w:rsid w:val="003D3BC8"/>
    <w:rsid w:val="003E2A86"/>
    <w:rsid w:val="003E501F"/>
    <w:rsid w:val="003E651E"/>
    <w:rsid w:val="003E7D8F"/>
    <w:rsid w:val="003F0BD2"/>
    <w:rsid w:val="003F1C91"/>
    <w:rsid w:val="003F3B82"/>
    <w:rsid w:val="003F41CB"/>
    <w:rsid w:val="003F4694"/>
    <w:rsid w:val="003F4966"/>
    <w:rsid w:val="003F4A8E"/>
    <w:rsid w:val="00407D0A"/>
    <w:rsid w:val="004102EB"/>
    <w:rsid w:val="00410EA8"/>
    <w:rsid w:val="00413D9C"/>
    <w:rsid w:val="004261C4"/>
    <w:rsid w:val="00426EC4"/>
    <w:rsid w:val="004273F0"/>
    <w:rsid w:val="0043016C"/>
    <w:rsid w:val="00430413"/>
    <w:rsid w:val="00430B5E"/>
    <w:rsid w:val="00442C49"/>
    <w:rsid w:val="00444C8E"/>
    <w:rsid w:val="00444F43"/>
    <w:rsid w:val="00446099"/>
    <w:rsid w:val="00451F66"/>
    <w:rsid w:val="00452FA7"/>
    <w:rsid w:val="00455237"/>
    <w:rsid w:val="00456238"/>
    <w:rsid w:val="004613F8"/>
    <w:rsid w:val="00462B7D"/>
    <w:rsid w:val="0046342C"/>
    <w:rsid w:val="004708C4"/>
    <w:rsid w:val="00475CEC"/>
    <w:rsid w:val="0047761C"/>
    <w:rsid w:val="00477AD6"/>
    <w:rsid w:val="00480490"/>
    <w:rsid w:val="00484D1A"/>
    <w:rsid w:val="00490776"/>
    <w:rsid w:val="00490D6C"/>
    <w:rsid w:val="00495038"/>
    <w:rsid w:val="004A4422"/>
    <w:rsid w:val="004A6C48"/>
    <w:rsid w:val="004B09E9"/>
    <w:rsid w:val="004B5435"/>
    <w:rsid w:val="004C0BE0"/>
    <w:rsid w:val="004C0F1E"/>
    <w:rsid w:val="004C1EBD"/>
    <w:rsid w:val="004D224A"/>
    <w:rsid w:val="004D2963"/>
    <w:rsid w:val="004D457A"/>
    <w:rsid w:val="004D49E3"/>
    <w:rsid w:val="004E0FA6"/>
    <w:rsid w:val="004E1AEB"/>
    <w:rsid w:val="004E4054"/>
    <w:rsid w:val="004E768E"/>
    <w:rsid w:val="004F2F85"/>
    <w:rsid w:val="004F769B"/>
    <w:rsid w:val="00510648"/>
    <w:rsid w:val="005149C7"/>
    <w:rsid w:val="00514F53"/>
    <w:rsid w:val="005169B7"/>
    <w:rsid w:val="00516F35"/>
    <w:rsid w:val="0051728F"/>
    <w:rsid w:val="0052141D"/>
    <w:rsid w:val="00527905"/>
    <w:rsid w:val="00533B6A"/>
    <w:rsid w:val="00536F83"/>
    <w:rsid w:val="00540C69"/>
    <w:rsid w:val="00541D95"/>
    <w:rsid w:val="0054293F"/>
    <w:rsid w:val="005430BC"/>
    <w:rsid w:val="005448C7"/>
    <w:rsid w:val="00547942"/>
    <w:rsid w:val="00557D42"/>
    <w:rsid w:val="00561E2F"/>
    <w:rsid w:val="00562EFB"/>
    <w:rsid w:val="00567E70"/>
    <w:rsid w:val="005779AA"/>
    <w:rsid w:val="0058319C"/>
    <w:rsid w:val="00587843"/>
    <w:rsid w:val="005879E3"/>
    <w:rsid w:val="0059185F"/>
    <w:rsid w:val="00594CD6"/>
    <w:rsid w:val="005B6E44"/>
    <w:rsid w:val="005C0F8F"/>
    <w:rsid w:val="005C2139"/>
    <w:rsid w:val="005C44E8"/>
    <w:rsid w:val="005D58E0"/>
    <w:rsid w:val="005D5DA4"/>
    <w:rsid w:val="005D6796"/>
    <w:rsid w:val="005D6B75"/>
    <w:rsid w:val="005D73DE"/>
    <w:rsid w:val="005E0368"/>
    <w:rsid w:val="005E38E3"/>
    <w:rsid w:val="005E69BA"/>
    <w:rsid w:val="005F6AE8"/>
    <w:rsid w:val="005F6B95"/>
    <w:rsid w:val="005F6D5B"/>
    <w:rsid w:val="006005CB"/>
    <w:rsid w:val="00602502"/>
    <w:rsid w:val="00603615"/>
    <w:rsid w:val="00607E8B"/>
    <w:rsid w:val="00617180"/>
    <w:rsid w:val="00621F68"/>
    <w:rsid w:val="00622D6A"/>
    <w:rsid w:val="006304AE"/>
    <w:rsid w:val="0063201D"/>
    <w:rsid w:val="00640582"/>
    <w:rsid w:val="00644CCF"/>
    <w:rsid w:val="00646971"/>
    <w:rsid w:val="006502B6"/>
    <w:rsid w:val="006579A2"/>
    <w:rsid w:val="00663EFD"/>
    <w:rsid w:val="00666479"/>
    <w:rsid w:val="00670F03"/>
    <w:rsid w:val="0067185B"/>
    <w:rsid w:val="00676E28"/>
    <w:rsid w:val="00684830"/>
    <w:rsid w:val="00684BE7"/>
    <w:rsid w:val="00685EC1"/>
    <w:rsid w:val="006953AF"/>
    <w:rsid w:val="0069563A"/>
    <w:rsid w:val="00697F3C"/>
    <w:rsid w:val="006B5782"/>
    <w:rsid w:val="006C1DD1"/>
    <w:rsid w:val="006C4F76"/>
    <w:rsid w:val="006C53CE"/>
    <w:rsid w:val="006C54E4"/>
    <w:rsid w:val="006D0F53"/>
    <w:rsid w:val="006D1169"/>
    <w:rsid w:val="006D36EE"/>
    <w:rsid w:val="006D3915"/>
    <w:rsid w:val="006D4216"/>
    <w:rsid w:val="006D45C2"/>
    <w:rsid w:val="006E1089"/>
    <w:rsid w:val="006E23BB"/>
    <w:rsid w:val="006E431A"/>
    <w:rsid w:val="006F2AD7"/>
    <w:rsid w:val="006F3493"/>
    <w:rsid w:val="006F4646"/>
    <w:rsid w:val="006F7BD2"/>
    <w:rsid w:val="00707F9C"/>
    <w:rsid w:val="00712E6D"/>
    <w:rsid w:val="00713DF9"/>
    <w:rsid w:val="00714B0D"/>
    <w:rsid w:val="00721F2D"/>
    <w:rsid w:val="00727A3D"/>
    <w:rsid w:val="00730C00"/>
    <w:rsid w:val="007312F3"/>
    <w:rsid w:val="00732521"/>
    <w:rsid w:val="007356E6"/>
    <w:rsid w:val="00737127"/>
    <w:rsid w:val="00750645"/>
    <w:rsid w:val="00750CC8"/>
    <w:rsid w:val="00755E03"/>
    <w:rsid w:val="00757990"/>
    <w:rsid w:val="00762BAE"/>
    <w:rsid w:val="00764CD0"/>
    <w:rsid w:val="007662C5"/>
    <w:rsid w:val="00766EDA"/>
    <w:rsid w:val="00767DE8"/>
    <w:rsid w:val="0077160A"/>
    <w:rsid w:val="00775B06"/>
    <w:rsid w:val="00776239"/>
    <w:rsid w:val="007765B3"/>
    <w:rsid w:val="007837AA"/>
    <w:rsid w:val="00785AF2"/>
    <w:rsid w:val="00792361"/>
    <w:rsid w:val="0079348C"/>
    <w:rsid w:val="0079683F"/>
    <w:rsid w:val="0079714D"/>
    <w:rsid w:val="007B47EB"/>
    <w:rsid w:val="007B480C"/>
    <w:rsid w:val="007B6601"/>
    <w:rsid w:val="007C027C"/>
    <w:rsid w:val="007C05E3"/>
    <w:rsid w:val="007C070D"/>
    <w:rsid w:val="007C36ED"/>
    <w:rsid w:val="007C3996"/>
    <w:rsid w:val="007D1D5F"/>
    <w:rsid w:val="007D4080"/>
    <w:rsid w:val="007D6EC0"/>
    <w:rsid w:val="007E5CE8"/>
    <w:rsid w:val="007E5F3A"/>
    <w:rsid w:val="007F04E6"/>
    <w:rsid w:val="007F1827"/>
    <w:rsid w:val="007F1F46"/>
    <w:rsid w:val="007F2613"/>
    <w:rsid w:val="007F3A7A"/>
    <w:rsid w:val="00800DFD"/>
    <w:rsid w:val="00801CD6"/>
    <w:rsid w:val="0080416F"/>
    <w:rsid w:val="00804976"/>
    <w:rsid w:val="00807712"/>
    <w:rsid w:val="00810152"/>
    <w:rsid w:val="00812A44"/>
    <w:rsid w:val="00815814"/>
    <w:rsid w:val="0082085E"/>
    <w:rsid w:val="00830BB9"/>
    <w:rsid w:val="00834FB5"/>
    <w:rsid w:val="008367F5"/>
    <w:rsid w:val="00836F2A"/>
    <w:rsid w:val="008406E0"/>
    <w:rsid w:val="00841005"/>
    <w:rsid w:val="00844259"/>
    <w:rsid w:val="00844B35"/>
    <w:rsid w:val="008631A8"/>
    <w:rsid w:val="008704DC"/>
    <w:rsid w:val="00872203"/>
    <w:rsid w:val="008778B8"/>
    <w:rsid w:val="00884DE5"/>
    <w:rsid w:val="00885C9A"/>
    <w:rsid w:val="00891A33"/>
    <w:rsid w:val="008B50AD"/>
    <w:rsid w:val="008B540E"/>
    <w:rsid w:val="008B5B1C"/>
    <w:rsid w:val="008B5ECF"/>
    <w:rsid w:val="008C0FBD"/>
    <w:rsid w:val="008C5511"/>
    <w:rsid w:val="008D10CB"/>
    <w:rsid w:val="008D2262"/>
    <w:rsid w:val="008D50D4"/>
    <w:rsid w:val="008E1A10"/>
    <w:rsid w:val="008E49EE"/>
    <w:rsid w:val="008E4B29"/>
    <w:rsid w:val="008F20D9"/>
    <w:rsid w:val="008F23FB"/>
    <w:rsid w:val="008F47FC"/>
    <w:rsid w:val="008F72A4"/>
    <w:rsid w:val="008F75B0"/>
    <w:rsid w:val="00902ADA"/>
    <w:rsid w:val="009048CF"/>
    <w:rsid w:val="00904FCA"/>
    <w:rsid w:val="0091168E"/>
    <w:rsid w:val="00913529"/>
    <w:rsid w:val="00926C86"/>
    <w:rsid w:val="00933004"/>
    <w:rsid w:val="009338B7"/>
    <w:rsid w:val="009340AC"/>
    <w:rsid w:val="009440E3"/>
    <w:rsid w:val="00945CE5"/>
    <w:rsid w:val="0094725F"/>
    <w:rsid w:val="00947F2C"/>
    <w:rsid w:val="0095299C"/>
    <w:rsid w:val="009621B0"/>
    <w:rsid w:val="009704F4"/>
    <w:rsid w:val="00970DE3"/>
    <w:rsid w:val="0097569D"/>
    <w:rsid w:val="009759C9"/>
    <w:rsid w:val="00980A69"/>
    <w:rsid w:val="0098785A"/>
    <w:rsid w:val="00991238"/>
    <w:rsid w:val="009933E4"/>
    <w:rsid w:val="00993A10"/>
    <w:rsid w:val="009A047A"/>
    <w:rsid w:val="009A3185"/>
    <w:rsid w:val="009B4143"/>
    <w:rsid w:val="009B44A9"/>
    <w:rsid w:val="009B53ED"/>
    <w:rsid w:val="009B64E8"/>
    <w:rsid w:val="009B7981"/>
    <w:rsid w:val="009C2624"/>
    <w:rsid w:val="009C38AC"/>
    <w:rsid w:val="009C3F08"/>
    <w:rsid w:val="009D41EE"/>
    <w:rsid w:val="009D76F8"/>
    <w:rsid w:val="009D7918"/>
    <w:rsid w:val="009E4313"/>
    <w:rsid w:val="009E4D8E"/>
    <w:rsid w:val="009F4A13"/>
    <w:rsid w:val="009F4EBC"/>
    <w:rsid w:val="009F6BD0"/>
    <w:rsid w:val="00A01812"/>
    <w:rsid w:val="00A01869"/>
    <w:rsid w:val="00A01DC6"/>
    <w:rsid w:val="00A02215"/>
    <w:rsid w:val="00A05402"/>
    <w:rsid w:val="00A054E7"/>
    <w:rsid w:val="00A058C7"/>
    <w:rsid w:val="00A07125"/>
    <w:rsid w:val="00A11318"/>
    <w:rsid w:val="00A17246"/>
    <w:rsid w:val="00A17AB0"/>
    <w:rsid w:val="00A20968"/>
    <w:rsid w:val="00A218AC"/>
    <w:rsid w:val="00A238E8"/>
    <w:rsid w:val="00A24E2B"/>
    <w:rsid w:val="00A27CA7"/>
    <w:rsid w:val="00A27E7E"/>
    <w:rsid w:val="00A31C67"/>
    <w:rsid w:val="00A324C3"/>
    <w:rsid w:val="00A326B8"/>
    <w:rsid w:val="00A4095F"/>
    <w:rsid w:val="00A5243F"/>
    <w:rsid w:val="00A538C2"/>
    <w:rsid w:val="00A55883"/>
    <w:rsid w:val="00A7577E"/>
    <w:rsid w:val="00A768C9"/>
    <w:rsid w:val="00A80FCF"/>
    <w:rsid w:val="00A820F1"/>
    <w:rsid w:val="00A87E07"/>
    <w:rsid w:val="00A914C9"/>
    <w:rsid w:val="00AA68C9"/>
    <w:rsid w:val="00AB1C01"/>
    <w:rsid w:val="00AC6090"/>
    <w:rsid w:val="00AC7867"/>
    <w:rsid w:val="00AD0B39"/>
    <w:rsid w:val="00AD12F5"/>
    <w:rsid w:val="00AD3662"/>
    <w:rsid w:val="00AD6193"/>
    <w:rsid w:val="00AE073C"/>
    <w:rsid w:val="00AE0D12"/>
    <w:rsid w:val="00AE0E00"/>
    <w:rsid w:val="00AE7319"/>
    <w:rsid w:val="00AF16B7"/>
    <w:rsid w:val="00AF196E"/>
    <w:rsid w:val="00AF3475"/>
    <w:rsid w:val="00AF362C"/>
    <w:rsid w:val="00AF4BD0"/>
    <w:rsid w:val="00B04C19"/>
    <w:rsid w:val="00B0566C"/>
    <w:rsid w:val="00B137E6"/>
    <w:rsid w:val="00B15772"/>
    <w:rsid w:val="00B16080"/>
    <w:rsid w:val="00B168C0"/>
    <w:rsid w:val="00B24631"/>
    <w:rsid w:val="00B27A1C"/>
    <w:rsid w:val="00B27A3C"/>
    <w:rsid w:val="00B334A7"/>
    <w:rsid w:val="00B33C30"/>
    <w:rsid w:val="00B424ED"/>
    <w:rsid w:val="00B56E0A"/>
    <w:rsid w:val="00B631BB"/>
    <w:rsid w:val="00B6542C"/>
    <w:rsid w:val="00B7060E"/>
    <w:rsid w:val="00B7358E"/>
    <w:rsid w:val="00B83B5F"/>
    <w:rsid w:val="00B85622"/>
    <w:rsid w:val="00B90FDC"/>
    <w:rsid w:val="00B96CA6"/>
    <w:rsid w:val="00B97858"/>
    <w:rsid w:val="00BA201A"/>
    <w:rsid w:val="00BA558C"/>
    <w:rsid w:val="00BB00E6"/>
    <w:rsid w:val="00BB16F7"/>
    <w:rsid w:val="00BB55B2"/>
    <w:rsid w:val="00BB55CD"/>
    <w:rsid w:val="00BC5EC9"/>
    <w:rsid w:val="00BC63AC"/>
    <w:rsid w:val="00BD113C"/>
    <w:rsid w:val="00BE0AE4"/>
    <w:rsid w:val="00BF0038"/>
    <w:rsid w:val="00C0285A"/>
    <w:rsid w:val="00C06D7B"/>
    <w:rsid w:val="00C12B1D"/>
    <w:rsid w:val="00C14317"/>
    <w:rsid w:val="00C14737"/>
    <w:rsid w:val="00C1606C"/>
    <w:rsid w:val="00C17E9D"/>
    <w:rsid w:val="00C203A1"/>
    <w:rsid w:val="00C306B4"/>
    <w:rsid w:val="00C36ECF"/>
    <w:rsid w:val="00C4401F"/>
    <w:rsid w:val="00C46A20"/>
    <w:rsid w:val="00C55EE4"/>
    <w:rsid w:val="00C660C2"/>
    <w:rsid w:val="00C75D5A"/>
    <w:rsid w:val="00C76B26"/>
    <w:rsid w:val="00C86DF3"/>
    <w:rsid w:val="00C90F64"/>
    <w:rsid w:val="00C974AD"/>
    <w:rsid w:val="00CA26C4"/>
    <w:rsid w:val="00CA26D4"/>
    <w:rsid w:val="00CA342E"/>
    <w:rsid w:val="00CA6E0D"/>
    <w:rsid w:val="00CA6FD0"/>
    <w:rsid w:val="00CA7153"/>
    <w:rsid w:val="00CB2B1D"/>
    <w:rsid w:val="00CB7D22"/>
    <w:rsid w:val="00CC3474"/>
    <w:rsid w:val="00CC50F6"/>
    <w:rsid w:val="00CD0805"/>
    <w:rsid w:val="00CD2B15"/>
    <w:rsid w:val="00CD33E6"/>
    <w:rsid w:val="00CE0D41"/>
    <w:rsid w:val="00CE56C1"/>
    <w:rsid w:val="00CF437C"/>
    <w:rsid w:val="00D0118D"/>
    <w:rsid w:val="00D14449"/>
    <w:rsid w:val="00D15311"/>
    <w:rsid w:val="00D16387"/>
    <w:rsid w:val="00D202AF"/>
    <w:rsid w:val="00D23AD2"/>
    <w:rsid w:val="00D32DE7"/>
    <w:rsid w:val="00D376E8"/>
    <w:rsid w:val="00D40B35"/>
    <w:rsid w:val="00D44708"/>
    <w:rsid w:val="00D561A9"/>
    <w:rsid w:val="00D6688D"/>
    <w:rsid w:val="00D672E4"/>
    <w:rsid w:val="00D72273"/>
    <w:rsid w:val="00D87928"/>
    <w:rsid w:val="00D95ACD"/>
    <w:rsid w:val="00D970BE"/>
    <w:rsid w:val="00D97BA6"/>
    <w:rsid w:val="00DA24A8"/>
    <w:rsid w:val="00DA6C6B"/>
    <w:rsid w:val="00DA7271"/>
    <w:rsid w:val="00DB039E"/>
    <w:rsid w:val="00DB057F"/>
    <w:rsid w:val="00DB28B1"/>
    <w:rsid w:val="00DB5B64"/>
    <w:rsid w:val="00DC08D1"/>
    <w:rsid w:val="00DC260F"/>
    <w:rsid w:val="00DC2F7F"/>
    <w:rsid w:val="00DC3906"/>
    <w:rsid w:val="00DC5E72"/>
    <w:rsid w:val="00DC6B2B"/>
    <w:rsid w:val="00DD4339"/>
    <w:rsid w:val="00DE5B2D"/>
    <w:rsid w:val="00DE65A3"/>
    <w:rsid w:val="00DF02EC"/>
    <w:rsid w:val="00DF0593"/>
    <w:rsid w:val="00DF0627"/>
    <w:rsid w:val="00DF4504"/>
    <w:rsid w:val="00DF4D54"/>
    <w:rsid w:val="00DF7FC5"/>
    <w:rsid w:val="00E1621A"/>
    <w:rsid w:val="00E22C20"/>
    <w:rsid w:val="00E2794E"/>
    <w:rsid w:val="00E32E4E"/>
    <w:rsid w:val="00E41AF3"/>
    <w:rsid w:val="00E41EF4"/>
    <w:rsid w:val="00E4565C"/>
    <w:rsid w:val="00E458B8"/>
    <w:rsid w:val="00E45E72"/>
    <w:rsid w:val="00E553F0"/>
    <w:rsid w:val="00E60EE8"/>
    <w:rsid w:val="00E738AC"/>
    <w:rsid w:val="00E74532"/>
    <w:rsid w:val="00E74844"/>
    <w:rsid w:val="00E835ED"/>
    <w:rsid w:val="00E84685"/>
    <w:rsid w:val="00E86938"/>
    <w:rsid w:val="00E9149E"/>
    <w:rsid w:val="00E91F4C"/>
    <w:rsid w:val="00EA3355"/>
    <w:rsid w:val="00EA3833"/>
    <w:rsid w:val="00EA5380"/>
    <w:rsid w:val="00EB2D14"/>
    <w:rsid w:val="00EB6969"/>
    <w:rsid w:val="00EB78D7"/>
    <w:rsid w:val="00EC092F"/>
    <w:rsid w:val="00EC1E8D"/>
    <w:rsid w:val="00EC1F8C"/>
    <w:rsid w:val="00EC2076"/>
    <w:rsid w:val="00EC2D4C"/>
    <w:rsid w:val="00EC34BF"/>
    <w:rsid w:val="00EC38C9"/>
    <w:rsid w:val="00EC76EA"/>
    <w:rsid w:val="00EC77D8"/>
    <w:rsid w:val="00ED29E3"/>
    <w:rsid w:val="00ED3ABF"/>
    <w:rsid w:val="00ED4507"/>
    <w:rsid w:val="00ED5170"/>
    <w:rsid w:val="00ED53F6"/>
    <w:rsid w:val="00EE4A66"/>
    <w:rsid w:val="00EE4BD7"/>
    <w:rsid w:val="00EE6EFF"/>
    <w:rsid w:val="00F02247"/>
    <w:rsid w:val="00F061A8"/>
    <w:rsid w:val="00F06B84"/>
    <w:rsid w:val="00F13707"/>
    <w:rsid w:val="00F13F79"/>
    <w:rsid w:val="00F17AB4"/>
    <w:rsid w:val="00F20CAB"/>
    <w:rsid w:val="00F250B1"/>
    <w:rsid w:val="00F350F4"/>
    <w:rsid w:val="00F35470"/>
    <w:rsid w:val="00F35B92"/>
    <w:rsid w:val="00F40C63"/>
    <w:rsid w:val="00F46ACD"/>
    <w:rsid w:val="00F50D6E"/>
    <w:rsid w:val="00F517F7"/>
    <w:rsid w:val="00F53286"/>
    <w:rsid w:val="00F54049"/>
    <w:rsid w:val="00F573B6"/>
    <w:rsid w:val="00F61DDF"/>
    <w:rsid w:val="00F62CC3"/>
    <w:rsid w:val="00F65480"/>
    <w:rsid w:val="00F70D52"/>
    <w:rsid w:val="00F74C7B"/>
    <w:rsid w:val="00F76723"/>
    <w:rsid w:val="00F85FD6"/>
    <w:rsid w:val="00F866BD"/>
    <w:rsid w:val="00FA027C"/>
    <w:rsid w:val="00FB1947"/>
    <w:rsid w:val="00FB6CDF"/>
    <w:rsid w:val="00FC1148"/>
    <w:rsid w:val="00FC397C"/>
    <w:rsid w:val="00FC42AC"/>
    <w:rsid w:val="00FC58F2"/>
    <w:rsid w:val="00FD00EC"/>
    <w:rsid w:val="00FD017C"/>
    <w:rsid w:val="00FD4D5E"/>
    <w:rsid w:val="00FE0F73"/>
    <w:rsid w:val="00FE2FC1"/>
    <w:rsid w:val="00FF001E"/>
    <w:rsid w:val="00FF1DD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2EFCD"/>
  <w15:chartTrackingRefBased/>
  <w15:docId w15:val="{9DBD3966-510A-40D9-9F34-538E86FEF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IE" w:eastAsia="en-US" w:bidi="ar-SA"/>
      </w:rPr>
    </w:rPrDefault>
    <w:pPrDefault>
      <w:pPr>
        <w:spacing w:before="240" w:line="288" w:lineRule="auto"/>
      </w:pPr>
    </w:pPrDefault>
  </w:docDefaults>
  <w:latentStyles w:defLockedState="0" w:defUIPriority="99"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0E36E7"/>
    <w:pPr>
      <w:jc w:val="both"/>
    </w:pPr>
    <w:rPr>
      <w:sz w:val="19"/>
      <w:szCs w:val="19"/>
    </w:rPr>
  </w:style>
  <w:style w:type="paragraph" w:styleId="Heading1">
    <w:name w:val="heading 1"/>
    <w:basedOn w:val="Normal"/>
    <w:next w:val="Normal"/>
    <w:link w:val="Heading1Char"/>
    <w:uiPriority w:val="99"/>
    <w:qFormat/>
    <w:rsid w:val="000E36E7"/>
    <w:pPr>
      <w:keepNext/>
      <w:keepLines/>
      <w:spacing w:before="480"/>
      <w:outlineLvl w:val="0"/>
    </w:pPr>
    <w:rPr>
      <w:rFonts w:asciiTheme="majorHAnsi" w:eastAsiaTheme="majorEastAsia" w:hAnsiTheme="majorHAnsi" w:cstheme="majorBidi"/>
      <w:b/>
      <w:bCs/>
      <w:color w:val="20A093" w:themeColor="accent1" w:themeShade="BF"/>
      <w:sz w:val="28"/>
      <w:szCs w:val="28"/>
    </w:rPr>
  </w:style>
  <w:style w:type="paragraph" w:styleId="Heading2">
    <w:name w:val="heading 2"/>
    <w:basedOn w:val="Normal"/>
    <w:next w:val="Normal"/>
    <w:link w:val="Heading2Char"/>
    <w:uiPriority w:val="99"/>
    <w:semiHidden/>
    <w:qFormat/>
    <w:rsid w:val="000E36E7"/>
    <w:pPr>
      <w:keepNext/>
      <w:keepLines/>
      <w:spacing w:before="200"/>
      <w:outlineLvl w:val="1"/>
    </w:pPr>
    <w:rPr>
      <w:rFonts w:asciiTheme="majorHAnsi" w:eastAsiaTheme="majorEastAsia" w:hAnsiTheme="majorHAnsi" w:cstheme="majorBidi"/>
      <w:b/>
      <w:bCs/>
      <w:color w:val="2CD5C4" w:themeColor="accent1"/>
      <w:sz w:val="26"/>
      <w:szCs w:val="26"/>
    </w:rPr>
  </w:style>
  <w:style w:type="paragraph" w:styleId="Heading3">
    <w:name w:val="heading 3"/>
    <w:basedOn w:val="Normal"/>
    <w:next w:val="Normal"/>
    <w:link w:val="Heading3Char"/>
    <w:uiPriority w:val="99"/>
    <w:semiHidden/>
    <w:qFormat/>
    <w:rsid w:val="000E36E7"/>
    <w:pPr>
      <w:keepNext/>
      <w:keepLines/>
      <w:spacing w:before="200"/>
      <w:outlineLvl w:val="2"/>
    </w:pPr>
    <w:rPr>
      <w:rFonts w:asciiTheme="majorHAnsi" w:eastAsiaTheme="majorEastAsia" w:hAnsiTheme="majorHAnsi" w:cstheme="majorBidi"/>
      <w:b/>
      <w:bCs/>
      <w:color w:val="2CD5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LG">
    <w:name w:val="Body ALG"/>
    <w:qFormat/>
    <w:rsid w:val="000E36E7"/>
    <w:pPr>
      <w:jc w:val="both"/>
    </w:pPr>
    <w:rPr>
      <w:sz w:val="19"/>
      <w:szCs w:val="19"/>
    </w:rPr>
  </w:style>
  <w:style w:type="paragraph" w:customStyle="1" w:styleId="ALGNo1">
    <w:name w:val="ALG No 1"/>
    <w:uiPriority w:val="1"/>
    <w:qFormat/>
    <w:rsid w:val="000E36E7"/>
    <w:pPr>
      <w:numPr>
        <w:numId w:val="1"/>
      </w:numPr>
      <w:jc w:val="both"/>
    </w:pPr>
    <w:rPr>
      <w:sz w:val="19"/>
      <w:szCs w:val="19"/>
    </w:rPr>
  </w:style>
  <w:style w:type="paragraph" w:customStyle="1" w:styleId="ALGHd1">
    <w:name w:val="ALG Hd 1"/>
    <w:basedOn w:val="ALGNo1"/>
    <w:next w:val="Normal"/>
    <w:uiPriority w:val="1"/>
    <w:qFormat/>
    <w:rsid w:val="000E36E7"/>
    <w:pPr>
      <w:keepNext/>
      <w:jc w:val="left"/>
      <w:outlineLvl w:val="0"/>
    </w:pPr>
    <w:rPr>
      <w:b/>
      <w:caps/>
    </w:rPr>
  </w:style>
  <w:style w:type="paragraph" w:customStyle="1" w:styleId="ALGNo2">
    <w:name w:val="ALG No 2"/>
    <w:uiPriority w:val="1"/>
    <w:qFormat/>
    <w:rsid w:val="000E36E7"/>
    <w:pPr>
      <w:numPr>
        <w:ilvl w:val="1"/>
        <w:numId w:val="1"/>
      </w:numPr>
      <w:jc w:val="both"/>
    </w:pPr>
    <w:rPr>
      <w:sz w:val="19"/>
      <w:szCs w:val="19"/>
    </w:rPr>
  </w:style>
  <w:style w:type="paragraph" w:customStyle="1" w:styleId="ALGHd2">
    <w:name w:val="ALG Hd 2"/>
    <w:basedOn w:val="ALGNo2"/>
    <w:next w:val="Normal"/>
    <w:uiPriority w:val="1"/>
    <w:qFormat/>
    <w:rsid w:val="000E36E7"/>
    <w:pPr>
      <w:keepNext/>
      <w:jc w:val="left"/>
      <w:outlineLvl w:val="1"/>
    </w:pPr>
    <w:rPr>
      <w:b/>
    </w:rPr>
  </w:style>
  <w:style w:type="paragraph" w:customStyle="1" w:styleId="ALGNo3">
    <w:name w:val="ALG No 3"/>
    <w:uiPriority w:val="1"/>
    <w:qFormat/>
    <w:rsid w:val="000E36E7"/>
    <w:pPr>
      <w:numPr>
        <w:ilvl w:val="2"/>
        <w:numId w:val="1"/>
      </w:numPr>
      <w:jc w:val="both"/>
    </w:pPr>
    <w:rPr>
      <w:sz w:val="19"/>
      <w:szCs w:val="19"/>
    </w:rPr>
  </w:style>
  <w:style w:type="paragraph" w:customStyle="1" w:styleId="ALGHd3">
    <w:name w:val="ALG Hd 3"/>
    <w:basedOn w:val="ALGNo3"/>
    <w:next w:val="Normal"/>
    <w:uiPriority w:val="1"/>
    <w:qFormat/>
    <w:rsid w:val="000E36E7"/>
    <w:pPr>
      <w:keepNext/>
      <w:jc w:val="left"/>
      <w:outlineLvl w:val="2"/>
    </w:pPr>
    <w:rPr>
      <w:b/>
      <w:i/>
    </w:rPr>
  </w:style>
  <w:style w:type="paragraph" w:customStyle="1" w:styleId="ALGNo4">
    <w:name w:val="ALG No 4"/>
    <w:uiPriority w:val="1"/>
    <w:qFormat/>
    <w:rsid w:val="000E36E7"/>
    <w:pPr>
      <w:numPr>
        <w:ilvl w:val="3"/>
        <w:numId w:val="1"/>
      </w:numPr>
      <w:jc w:val="both"/>
    </w:pPr>
    <w:rPr>
      <w:sz w:val="19"/>
      <w:szCs w:val="19"/>
    </w:rPr>
  </w:style>
  <w:style w:type="paragraph" w:customStyle="1" w:styleId="ALGHd4">
    <w:name w:val="ALG Hd 4"/>
    <w:basedOn w:val="ALGNo4"/>
    <w:next w:val="Normal"/>
    <w:uiPriority w:val="1"/>
    <w:qFormat/>
    <w:rsid w:val="000E36E7"/>
    <w:pPr>
      <w:keepNext/>
      <w:jc w:val="left"/>
    </w:pPr>
    <w:rPr>
      <w:i/>
    </w:rPr>
  </w:style>
  <w:style w:type="paragraph" w:customStyle="1" w:styleId="ALGNo5">
    <w:name w:val="ALG No 5"/>
    <w:uiPriority w:val="1"/>
    <w:qFormat/>
    <w:rsid w:val="000E36E7"/>
    <w:pPr>
      <w:numPr>
        <w:ilvl w:val="4"/>
        <w:numId w:val="1"/>
      </w:numPr>
      <w:jc w:val="both"/>
    </w:pPr>
    <w:rPr>
      <w:sz w:val="19"/>
      <w:szCs w:val="19"/>
    </w:rPr>
  </w:style>
  <w:style w:type="paragraph" w:customStyle="1" w:styleId="ALGNo6">
    <w:name w:val="ALG No 6"/>
    <w:uiPriority w:val="1"/>
    <w:unhideWhenUsed/>
    <w:qFormat/>
    <w:rsid w:val="000E36E7"/>
    <w:pPr>
      <w:numPr>
        <w:ilvl w:val="5"/>
        <w:numId w:val="1"/>
      </w:numPr>
      <w:jc w:val="both"/>
    </w:pPr>
    <w:rPr>
      <w:sz w:val="19"/>
      <w:szCs w:val="19"/>
    </w:rPr>
  </w:style>
  <w:style w:type="paragraph" w:customStyle="1" w:styleId="ALGNo7">
    <w:name w:val="ALG No 7"/>
    <w:uiPriority w:val="1"/>
    <w:unhideWhenUsed/>
    <w:qFormat/>
    <w:rsid w:val="000E36E7"/>
    <w:pPr>
      <w:numPr>
        <w:ilvl w:val="6"/>
        <w:numId w:val="1"/>
      </w:numPr>
      <w:jc w:val="both"/>
    </w:pPr>
    <w:rPr>
      <w:sz w:val="19"/>
      <w:szCs w:val="19"/>
    </w:rPr>
  </w:style>
  <w:style w:type="table" w:customStyle="1" w:styleId="ALGTable">
    <w:name w:val="ALG Table"/>
    <w:basedOn w:val="TableNormal"/>
    <w:uiPriority w:val="99"/>
    <w:rsid w:val="000E36E7"/>
    <w:pPr>
      <w:spacing w:before="80" w:after="80" w:line="240" w:lineRule="auto"/>
    </w:pPr>
    <w:rPr>
      <w:rFonts w:eastAsia="Batang"/>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18"/>
      </w:rPr>
      <w:tblPr/>
      <w:tcPr>
        <w:shd w:val="clear" w:color="auto" w:fill="2CD5C4"/>
      </w:tcPr>
    </w:tblStylePr>
  </w:style>
  <w:style w:type="table" w:customStyle="1" w:styleId="ALGTable2">
    <w:name w:val="ALG Table 2"/>
    <w:basedOn w:val="ALGTable"/>
    <w:uiPriority w:val="99"/>
    <w:rsid w:val="000E36E7"/>
    <w:pPr>
      <w:jc w:val="both"/>
    </w:pPr>
    <w:tblPr/>
    <w:tblStylePr w:type="firstRow">
      <w:rPr>
        <w:rFonts w:ascii="Arial Bold" w:hAnsi="Arial Bold"/>
        <w:b/>
        <w:color w:val="2CD5C4" w:themeColor="accent1"/>
        <w:sz w:val="18"/>
      </w:rPr>
      <w:tblPr/>
      <w:tcPr>
        <w:shd w:val="clear" w:color="auto" w:fill="3E3935" w:themeFill="accent4"/>
      </w:tcPr>
    </w:tblStylePr>
  </w:style>
  <w:style w:type="table" w:customStyle="1" w:styleId="ALGTable3">
    <w:name w:val="ALG Table 3"/>
    <w:basedOn w:val="ALGTable"/>
    <w:uiPriority w:val="99"/>
    <w:rsid w:val="000E36E7"/>
    <w:pPr>
      <w:jc w:val="both"/>
    </w:pPr>
    <w:tblPr/>
    <w:tblStylePr w:type="firstRow">
      <w:rPr>
        <w:rFonts w:ascii="Arial" w:hAnsi="Arial"/>
        <w:sz w:val="18"/>
      </w:rPr>
      <w:tblPr/>
      <w:tcPr>
        <w:shd w:val="clear" w:color="auto" w:fill="FFFFFF" w:themeFill="background1"/>
      </w:tcPr>
    </w:tblStylePr>
    <w:tblStylePr w:type="firstCol">
      <w:rPr>
        <w:b/>
        <w:i w:val="0"/>
      </w:rPr>
      <w:tblPr/>
      <w:tcPr>
        <w:shd w:val="clear" w:color="auto" w:fill="2CD5C4" w:themeFill="accent1"/>
      </w:tcPr>
    </w:tblStylePr>
    <w:tblStylePr w:type="nwCell">
      <w:tblPr/>
      <w:tcPr>
        <w:shd w:val="clear" w:color="auto" w:fill="2CD5C4" w:themeFill="accent1"/>
      </w:tcPr>
    </w:tblStylePr>
  </w:style>
  <w:style w:type="table" w:customStyle="1" w:styleId="ALGTable4">
    <w:name w:val="ALG Table 4"/>
    <w:basedOn w:val="ALGTable"/>
    <w:uiPriority w:val="99"/>
    <w:rsid w:val="000E36E7"/>
    <w:pPr>
      <w:jc w:val="both"/>
    </w:pPr>
    <w:tblPr/>
    <w:tblStylePr w:type="firstRow">
      <w:rPr>
        <w:rFonts w:ascii="Arial" w:hAnsi="Arial"/>
        <w:sz w:val="18"/>
      </w:rPr>
      <w:tblPr/>
      <w:tcPr>
        <w:shd w:val="clear" w:color="auto" w:fill="FFFFFF" w:themeFill="background1"/>
      </w:tcPr>
    </w:tblStylePr>
    <w:tblStylePr w:type="firstCol">
      <w:rPr>
        <w:b/>
        <w:color w:val="2CD5C4" w:themeColor="accent1"/>
      </w:rPr>
      <w:tblPr/>
      <w:tcPr>
        <w:shd w:val="clear" w:color="auto" w:fill="3E3935" w:themeFill="accent4"/>
      </w:tcPr>
    </w:tblStylePr>
    <w:tblStylePr w:type="nwCell">
      <w:tblPr/>
      <w:tcPr>
        <w:shd w:val="clear" w:color="auto" w:fill="3E3935" w:themeFill="accent4"/>
      </w:tcPr>
    </w:tblStylePr>
  </w:style>
  <w:style w:type="table" w:customStyle="1" w:styleId="ALGTable5">
    <w:name w:val="ALG Table 5"/>
    <w:basedOn w:val="ALGTable"/>
    <w:uiPriority w:val="99"/>
    <w:rsid w:val="000E36E7"/>
    <w:tblPr/>
    <w:tblStylePr w:type="firstRow">
      <w:rPr>
        <w:rFonts w:ascii="Arial" w:hAnsi="Arial"/>
        <w:b/>
        <w:color w:val="3E3935" w:themeColor="accent4"/>
        <w:sz w:val="18"/>
      </w:rPr>
      <w:tblPr/>
      <w:tcPr>
        <w:shd w:val="clear" w:color="auto" w:fill="2CD5C4"/>
      </w:tcPr>
    </w:tblStylePr>
    <w:tblStylePr w:type="firstCol">
      <w:rPr>
        <w:b/>
        <w:color w:val="3E3935" w:themeColor="accent4"/>
      </w:rPr>
      <w:tblPr/>
      <w:tcPr>
        <w:shd w:val="clear" w:color="auto" w:fill="2CD5C4" w:themeFill="accent1"/>
      </w:tcPr>
    </w:tblStylePr>
    <w:tblStylePr w:type="nwCell">
      <w:pPr>
        <w:wordWrap/>
        <w:spacing w:beforeLines="0" w:before="80" w:beforeAutospacing="0" w:afterLines="0" w:after="80" w:afterAutospacing="0" w:line="240" w:lineRule="auto"/>
        <w:jc w:val="both"/>
        <w:outlineLvl w:val="9"/>
      </w:pPr>
      <w:rPr>
        <w:color w:val="2CD5C4" w:themeColor="accent1"/>
      </w:rPr>
    </w:tblStylePr>
  </w:style>
  <w:style w:type="table" w:customStyle="1" w:styleId="ALGTable6">
    <w:name w:val="ALG Table 6"/>
    <w:basedOn w:val="ALGTable"/>
    <w:uiPriority w:val="99"/>
    <w:rsid w:val="000E36E7"/>
    <w:pPr>
      <w:jc w:val="both"/>
    </w:pPr>
    <w:tblPr>
      <w:tblBorders>
        <w:top w:val="single" w:sz="4" w:space="0" w:color="2CD5C4" w:themeColor="accent1"/>
        <w:left w:val="single" w:sz="4" w:space="0" w:color="2CD5C4" w:themeColor="accent1"/>
        <w:bottom w:val="single" w:sz="4" w:space="0" w:color="2CD5C4" w:themeColor="accent1"/>
        <w:right w:val="single" w:sz="4" w:space="0" w:color="2CD5C4" w:themeColor="accent1"/>
        <w:insideH w:val="single" w:sz="4" w:space="0" w:color="2CD5C4" w:themeColor="accent1"/>
        <w:insideV w:val="single" w:sz="4" w:space="0" w:color="2CD5C4" w:themeColor="accent1"/>
      </w:tblBorders>
    </w:tblPr>
    <w:tblStylePr w:type="firstRow">
      <w:rPr>
        <w:rFonts w:ascii="Arial" w:hAnsi="Arial"/>
        <w:b/>
        <w:color w:val="2CD5C4" w:themeColor="accent1"/>
        <w:sz w:val="18"/>
      </w:rPr>
      <w:tblPr/>
      <w:tcPr>
        <w:shd w:val="clear" w:color="auto" w:fill="3E3935" w:themeFill="accent4"/>
      </w:tcPr>
    </w:tblStylePr>
    <w:tblStylePr w:type="firstCol">
      <w:rPr>
        <w:b/>
        <w:color w:val="FFFFFF" w:themeColor="background1"/>
      </w:rPr>
      <w:tblPr/>
      <w:tcPr>
        <w:shd w:val="clear" w:color="auto" w:fill="3E3935" w:themeFill="accent4"/>
      </w:tcPr>
    </w:tblStylePr>
    <w:tblStylePr w:type="nwCell">
      <w:rPr>
        <w:color w:val="3E3935" w:themeColor="accent4"/>
      </w:rPr>
    </w:tblStylePr>
  </w:style>
  <w:style w:type="paragraph" w:customStyle="1" w:styleId="Appendix1Number">
    <w:name w:val="Appendix 1 Number"/>
    <w:next w:val="Normal"/>
    <w:uiPriority w:val="34"/>
    <w:qFormat/>
    <w:rsid w:val="000E36E7"/>
    <w:pPr>
      <w:numPr>
        <w:ilvl w:val="2"/>
        <w:numId w:val="2"/>
      </w:numPr>
      <w:jc w:val="both"/>
    </w:pPr>
    <w:rPr>
      <w:sz w:val="19"/>
      <w:szCs w:val="19"/>
    </w:rPr>
  </w:style>
  <w:style w:type="paragraph" w:customStyle="1" w:styleId="Appendix2Number">
    <w:name w:val="Appendix 2 Number"/>
    <w:next w:val="Normal"/>
    <w:uiPriority w:val="34"/>
    <w:qFormat/>
    <w:rsid w:val="000E36E7"/>
    <w:pPr>
      <w:numPr>
        <w:ilvl w:val="3"/>
        <w:numId w:val="2"/>
      </w:numPr>
      <w:jc w:val="both"/>
    </w:pPr>
    <w:rPr>
      <w:sz w:val="19"/>
      <w:szCs w:val="19"/>
    </w:rPr>
  </w:style>
  <w:style w:type="paragraph" w:customStyle="1" w:styleId="Appendix3Number">
    <w:name w:val="Appendix 3 Number"/>
    <w:next w:val="Normal"/>
    <w:uiPriority w:val="34"/>
    <w:qFormat/>
    <w:rsid w:val="000E36E7"/>
    <w:pPr>
      <w:numPr>
        <w:ilvl w:val="4"/>
        <w:numId w:val="2"/>
      </w:numPr>
      <w:jc w:val="both"/>
    </w:pPr>
    <w:rPr>
      <w:sz w:val="19"/>
      <w:szCs w:val="19"/>
    </w:rPr>
  </w:style>
  <w:style w:type="paragraph" w:customStyle="1" w:styleId="Appendix4Number">
    <w:name w:val="Appendix 4 Number"/>
    <w:next w:val="Normal"/>
    <w:uiPriority w:val="34"/>
    <w:qFormat/>
    <w:rsid w:val="000E36E7"/>
    <w:pPr>
      <w:numPr>
        <w:ilvl w:val="5"/>
        <w:numId w:val="2"/>
      </w:numPr>
      <w:jc w:val="both"/>
    </w:pPr>
    <w:rPr>
      <w:sz w:val="19"/>
      <w:szCs w:val="19"/>
    </w:rPr>
  </w:style>
  <w:style w:type="paragraph" w:customStyle="1" w:styleId="Appendix5Number">
    <w:name w:val="Appendix 5 Number"/>
    <w:next w:val="Normal"/>
    <w:uiPriority w:val="34"/>
    <w:qFormat/>
    <w:rsid w:val="000E36E7"/>
    <w:pPr>
      <w:numPr>
        <w:ilvl w:val="6"/>
        <w:numId w:val="2"/>
      </w:numPr>
      <w:jc w:val="both"/>
    </w:pPr>
    <w:rPr>
      <w:sz w:val="19"/>
      <w:szCs w:val="19"/>
    </w:rPr>
  </w:style>
  <w:style w:type="paragraph" w:customStyle="1" w:styleId="AppendixHeading">
    <w:name w:val="Appendix Heading"/>
    <w:next w:val="BodyALG"/>
    <w:uiPriority w:val="32"/>
    <w:qFormat/>
    <w:rsid w:val="000E36E7"/>
    <w:pPr>
      <w:pageBreakBefore/>
      <w:widowControl w:val="0"/>
      <w:numPr>
        <w:numId w:val="2"/>
      </w:numPr>
      <w:jc w:val="center"/>
      <w:outlineLvl w:val="0"/>
    </w:pPr>
    <w:rPr>
      <w:b/>
      <w:caps/>
      <w:sz w:val="19"/>
      <w:szCs w:val="19"/>
    </w:rPr>
  </w:style>
  <w:style w:type="paragraph" w:customStyle="1" w:styleId="AppendixPart">
    <w:name w:val="Appendix Part"/>
    <w:next w:val="BodyALG"/>
    <w:uiPriority w:val="33"/>
    <w:qFormat/>
    <w:rsid w:val="000E36E7"/>
    <w:pPr>
      <w:keepNext/>
      <w:widowControl w:val="0"/>
      <w:numPr>
        <w:ilvl w:val="1"/>
        <w:numId w:val="2"/>
      </w:numPr>
      <w:jc w:val="center"/>
      <w:outlineLvl w:val="1"/>
    </w:pPr>
    <w:rPr>
      <w:b/>
      <w:sz w:val="19"/>
      <w:szCs w:val="19"/>
    </w:rPr>
  </w:style>
  <w:style w:type="paragraph" w:styleId="BalloonText">
    <w:name w:val="Balloon Text"/>
    <w:basedOn w:val="Normal"/>
    <w:link w:val="BalloonTextChar"/>
    <w:uiPriority w:val="99"/>
    <w:semiHidden/>
    <w:rsid w:val="000E36E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6E7"/>
    <w:rPr>
      <w:rFonts w:ascii="Tahoma" w:hAnsi="Tahoma" w:cs="Tahoma"/>
      <w:sz w:val="16"/>
      <w:szCs w:val="16"/>
    </w:rPr>
  </w:style>
  <w:style w:type="paragraph" w:customStyle="1" w:styleId="Body1ALG">
    <w:name w:val="Body 1 ALG"/>
    <w:uiPriority w:val="1"/>
    <w:qFormat/>
    <w:rsid w:val="000E36E7"/>
    <w:pPr>
      <w:ind w:left="624"/>
      <w:jc w:val="both"/>
    </w:pPr>
    <w:rPr>
      <w:sz w:val="19"/>
      <w:szCs w:val="19"/>
    </w:rPr>
  </w:style>
  <w:style w:type="paragraph" w:customStyle="1" w:styleId="Body2ALG">
    <w:name w:val="Body 2 ALG"/>
    <w:uiPriority w:val="2"/>
    <w:qFormat/>
    <w:rsid w:val="000E36E7"/>
    <w:pPr>
      <w:ind w:left="624"/>
      <w:jc w:val="both"/>
    </w:pPr>
    <w:rPr>
      <w:sz w:val="19"/>
      <w:szCs w:val="19"/>
    </w:rPr>
  </w:style>
  <w:style w:type="paragraph" w:customStyle="1" w:styleId="Body3ALG">
    <w:name w:val="Body 3 ALG"/>
    <w:uiPriority w:val="4"/>
    <w:qFormat/>
    <w:rsid w:val="000E36E7"/>
    <w:pPr>
      <w:ind w:left="1474"/>
      <w:jc w:val="both"/>
    </w:pPr>
    <w:rPr>
      <w:sz w:val="19"/>
      <w:szCs w:val="19"/>
    </w:rPr>
  </w:style>
  <w:style w:type="paragraph" w:customStyle="1" w:styleId="Body4ALG">
    <w:name w:val="Body 4 ALG"/>
    <w:uiPriority w:val="5"/>
    <w:qFormat/>
    <w:rsid w:val="000E36E7"/>
    <w:pPr>
      <w:ind w:left="1814"/>
      <w:jc w:val="both"/>
    </w:pPr>
    <w:rPr>
      <w:sz w:val="19"/>
      <w:szCs w:val="19"/>
    </w:rPr>
  </w:style>
  <w:style w:type="paragraph" w:customStyle="1" w:styleId="Body5ALG">
    <w:name w:val="Body 5 ALG"/>
    <w:uiPriority w:val="7"/>
    <w:qFormat/>
    <w:rsid w:val="000E36E7"/>
    <w:pPr>
      <w:ind w:left="2211"/>
      <w:jc w:val="both"/>
    </w:pPr>
    <w:rPr>
      <w:sz w:val="19"/>
      <w:szCs w:val="19"/>
    </w:rPr>
  </w:style>
  <w:style w:type="paragraph" w:customStyle="1" w:styleId="Body6ALG">
    <w:name w:val="Body 6 ALG"/>
    <w:uiPriority w:val="9"/>
    <w:qFormat/>
    <w:rsid w:val="000E36E7"/>
    <w:pPr>
      <w:ind w:left="2608"/>
      <w:jc w:val="both"/>
    </w:pPr>
    <w:rPr>
      <w:sz w:val="19"/>
      <w:szCs w:val="19"/>
    </w:rPr>
  </w:style>
  <w:style w:type="paragraph" w:customStyle="1" w:styleId="Body7ALG">
    <w:name w:val="Body 7 ALG"/>
    <w:uiPriority w:val="10"/>
    <w:qFormat/>
    <w:rsid w:val="000E36E7"/>
    <w:pPr>
      <w:ind w:left="3005"/>
      <w:jc w:val="both"/>
    </w:pPr>
    <w:rPr>
      <w:sz w:val="19"/>
      <w:szCs w:val="19"/>
    </w:rPr>
  </w:style>
  <w:style w:type="paragraph" w:customStyle="1" w:styleId="BulletL1">
    <w:name w:val="Bullet L1"/>
    <w:uiPriority w:val="24"/>
    <w:qFormat/>
    <w:rsid w:val="000E36E7"/>
    <w:pPr>
      <w:numPr>
        <w:numId w:val="3"/>
      </w:numPr>
      <w:jc w:val="both"/>
    </w:pPr>
    <w:rPr>
      <w:sz w:val="19"/>
      <w:szCs w:val="19"/>
    </w:rPr>
  </w:style>
  <w:style w:type="paragraph" w:customStyle="1" w:styleId="BulletL2">
    <w:name w:val="Bullet L2"/>
    <w:uiPriority w:val="25"/>
    <w:qFormat/>
    <w:rsid w:val="000E36E7"/>
    <w:pPr>
      <w:numPr>
        <w:ilvl w:val="1"/>
        <w:numId w:val="3"/>
      </w:numPr>
      <w:jc w:val="both"/>
    </w:pPr>
    <w:rPr>
      <w:sz w:val="19"/>
      <w:szCs w:val="19"/>
    </w:rPr>
  </w:style>
  <w:style w:type="paragraph" w:customStyle="1" w:styleId="Definition">
    <w:name w:val="Definition"/>
    <w:uiPriority w:val="17"/>
    <w:qFormat/>
    <w:rsid w:val="000E36E7"/>
    <w:pPr>
      <w:numPr>
        <w:numId w:val="4"/>
      </w:numPr>
      <w:jc w:val="both"/>
    </w:pPr>
    <w:rPr>
      <w:sz w:val="19"/>
      <w:szCs w:val="19"/>
    </w:rPr>
  </w:style>
  <w:style w:type="paragraph" w:customStyle="1" w:styleId="Definitiona">
    <w:name w:val="Definition (a)"/>
    <w:uiPriority w:val="18"/>
    <w:qFormat/>
    <w:rsid w:val="000E36E7"/>
    <w:pPr>
      <w:numPr>
        <w:ilvl w:val="1"/>
        <w:numId w:val="4"/>
      </w:numPr>
      <w:jc w:val="both"/>
    </w:pPr>
    <w:rPr>
      <w:sz w:val="19"/>
      <w:szCs w:val="19"/>
    </w:rPr>
  </w:style>
  <w:style w:type="paragraph" w:customStyle="1" w:styleId="DefinitionA0">
    <w:name w:val="Definition (A)"/>
    <w:uiPriority w:val="20"/>
    <w:qFormat/>
    <w:rsid w:val="000E36E7"/>
    <w:pPr>
      <w:numPr>
        <w:ilvl w:val="3"/>
        <w:numId w:val="4"/>
      </w:numPr>
      <w:jc w:val="both"/>
    </w:pPr>
    <w:rPr>
      <w:sz w:val="19"/>
      <w:szCs w:val="19"/>
    </w:rPr>
  </w:style>
  <w:style w:type="paragraph" w:customStyle="1" w:styleId="Definitioni">
    <w:name w:val="Definition (i)"/>
    <w:uiPriority w:val="19"/>
    <w:qFormat/>
    <w:rsid w:val="000E36E7"/>
    <w:pPr>
      <w:numPr>
        <w:ilvl w:val="2"/>
        <w:numId w:val="4"/>
      </w:numPr>
      <w:jc w:val="both"/>
    </w:pPr>
    <w:rPr>
      <w:sz w:val="19"/>
      <w:szCs w:val="19"/>
    </w:rPr>
  </w:style>
  <w:style w:type="paragraph" w:styleId="EndnoteText">
    <w:name w:val="endnote text"/>
    <w:link w:val="EndnoteTextChar"/>
    <w:uiPriority w:val="99"/>
    <w:unhideWhenUsed/>
    <w:rsid w:val="000E36E7"/>
    <w:pPr>
      <w:spacing w:before="0" w:line="240" w:lineRule="auto"/>
      <w:jc w:val="both"/>
    </w:pPr>
    <w:rPr>
      <w:sz w:val="16"/>
    </w:rPr>
  </w:style>
  <w:style w:type="character" w:customStyle="1" w:styleId="EndnoteTextChar">
    <w:name w:val="Endnote Text Char"/>
    <w:basedOn w:val="DefaultParagraphFont"/>
    <w:link w:val="EndnoteText"/>
    <w:uiPriority w:val="99"/>
    <w:rsid w:val="000E36E7"/>
    <w:rPr>
      <w:sz w:val="16"/>
    </w:rPr>
  </w:style>
  <w:style w:type="paragraph" w:styleId="Footer">
    <w:name w:val="footer"/>
    <w:link w:val="FooterChar"/>
    <w:uiPriority w:val="99"/>
    <w:unhideWhenUsed/>
    <w:rsid w:val="000E36E7"/>
    <w:pPr>
      <w:tabs>
        <w:tab w:val="center" w:pos="4513"/>
        <w:tab w:val="right" w:pos="9026"/>
      </w:tabs>
      <w:spacing w:before="0" w:line="240" w:lineRule="auto"/>
      <w:jc w:val="both"/>
    </w:pPr>
    <w:rPr>
      <w:color w:val="595959"/>
      <w:sz w:val="16"/>
      <w:szCs w:val="19"/>
    </w:rPr>
  </w:style>
  <w:style w:type="character" w:customStyle="1" w:styleId="FooterChar">
    <w:name w:val="Footer Char"/>
    <w:basedOn w:val="DefaultParagraphFont"/>
    <w:link w:val="Footer"/>
    <w:uiPriority w:val="99"/>
    <w:rsid w:val="000E36E7"/>
    <w:rPr>
      <w:color w:val="595959"/>
      <w:sz w:val="16"/>
      <w:szCs w:val="19"/>
    </w:rPr>
  </w:style>
  <w:style w:type="character" w:styleId="FootnoteReference">
    <w:name w:val="footnote reference"/>
    <w:basedOn w:val="DefaultParagraphFont"/>
    <w:uiPriority w:val="99"/>
    <w:unhideWhenUsed/>
    <w:rsid w:val="000E36E7"/>
    <w:rPr>
      <w:b/>
      <w:vertAlign w:val="superscript"/>
    </w:rPr>
  </w:style>
  <w:style w:type="paragraph" w:styleId="FootnoteText">
    <w:name w:val="footnote text"/>
    <w:link w:val="FootnoteTextChar"/>
    <w:uiPriority w:val="99"/>
    <w:unhideWhenUsed/>
    <w:rsid w:val="000E36E7"/>
    <w:pPr>
      <w:spacing w:before="0" w:after="240" w:line="240" w:lineRule="auto"/>
      <w:jc w:val="both"/>
    </w:pPr>
    <w:rPr>
      <w:i/>
      <w:color w:val="595959"/>
      <w:sz w:val="16"/>
    </w:rPr>
  </w:style>
  <w:style w:type="character" w:customStyle="1" w:styleId="FootnoteTextChar">
    <w:name w:val="Footnote Text Char"/>
    <w:basedOn w:val="DefaultParagraphFont"/>
    <w:link w:val="FootnoteText"/>
    <w:uiPriority w:val="99"/>
    <w:rsid w:val="000E36E7"/>
    <w:rPr>
      <w:i/>
      <w:color w:val="595959"/>
      <w:sz w:val="16"/>
    </w:rPr>
  </w:style>
  <w:style w:type="paragraph" w:styleId="Header">
    <w:name w:val="header"/>
    <w:link w:val="HeaderChar"/>
    <w:uiPriority w:val="99"/>
    <w:unhideWhenUsed/>
    <w:rsid w:val="000E36E7"/>
    <w:pPr>
      <w:tabs>
        <w:tab w:val="center" w:pos="4513"/>
        <w:tab w:val="right" w:pos="9026"/>
      </w:tabs>
      <w:spacing w:before="0" w:line="240" w:lineRule="auto"/>
      <w:jc w:val="both"/>
    </w:pPr>
    <w:rPr>
      <w:sz w:val="16"/>
      <w:szCs w:val="19"/>
    </w:rPr>
  </w:style>
  <w:style w:type="character" w:customStyle="1" w:styleId="HeaderChar">
    <w:name w:val="Header Char"/>
    <w:basedOn w:val="DefaultParagraphFont"/>
    <w:link w:val="Header"/>
    <w:uiPriority w:val="99"/>
    <w:rsid w:val="000E36E7"/>
    <w:rPr>
      <w:sz w:val="16"/>
      <w:szCs w:val="19"/>
    </w:rPr>
  </w:style>
  <w:style w:type="character" w:customStyle="1" w:styleId="Heading1Char">
    <w:name w:val="Heading 1 Char"/>
    <w:basedOn w:val="DefaultParagraphFont"/>
    <w:link w:val="Heading1"/>
    <w:uiPriority w:val="99"/>
    <w:rsid w:val="000E36E7"/>
    <w:rPr>
      <w:rFonts w:asciiTheme="majorHAnsi" w:eastAsiaTheme="majorEastAsia" w:hAnsiTheme="majorHAnsi" w:cstheme="majorBidi"/>
      <w:b/>
      <w:bCs/>
      <w:color w:val="20A093" w:themeColor="accent1" w:themeShade="BF"/>
      <w:sz w:val="28"/>
      <w:szCs w:val="28"/>
    </w:rPr>
  </w:style>
  <w:style w:type="character" w:customStyle="1" w:styleId="Heading2Char">
    <w:name w:val="Heading 2 Char"/>
    <w:basedOn w:val="DefaultParagraphFont"/>
    <w:link w:val="Heading2"/>
    <w:uiPriority w:val="99"/>
    <w:semiHidden/>
    <w:rsid w:val="000E36E7"/>
    <w:rPr>
      <w:rFonts w:asciiTheme="majorHAnsi" w:eastAsiaTheme="majorEastAsia" w:hAnsiTheme="majorHAnsi" w:cstheme="majorBidi"/>
      <w:b/>
      <w:bCs/>
      <w:color w:val="2CD5C4" w:themeColor="accent1"/>
      <w:sz w:val="26"/>
      <w:szCs w:val="26"/>
    </w:rPr>
  </w:style>
  <w:style w:type="character" w:customStyle="1" w:styleId="Heading3Char">
    <w:name w:val="Heading 3 Char"/>
    <w:basedOn w:val="DefaultParagraphFont"/>
    <w:link w:val="Heading3"/>
    <w:uiPriority w:val="99"/>
    <w:semiHidden/>
    <w:rsid w:val="000E36E7"/>
    <w:rPr>
      <w:rFonts w:asciiTheme="majorHAnsi" w:eastAsiaTheme="majorEastAsia" w:hAnsiTheme="majorHAnsi" w:cstheme="majorBidi"/>
      <w:b/>
      <w:bCs/>
      <w:color w:val="2CD5C4" w:themeColor="accent1"/>
      <w:sz w:val="19"/>
      <w:szCs w:val="19"/>
    </w:rPr>
  </w:style>
  <w:style w:type="character" w:styleId="Hyperlink">
    <w:name w:val="Hyperlink"/>
    <w:basedOn w:val="DefaultParagraphFont"/>
    <w:uiPriority w:val="99"/>
    <w:rsid w:val="000E36E7"/>
    <w:rPr>
      <w:b w:val="0"/>
      <w:i w:val="0"/>
      <w:color w:val="2CD5C4" w:themeColor="hyperlink"/>
      <w:u w:val="single"/>
    </w:rPr>
  </w:style>
  <w:style w:type="paragraph" w:styleId="ListParagraph">
    <w:name w:val="List Paragraph"/>
    <w:basedOn w:val="Normal"/>
    <w:uiPriority w:val="99"/>
    <w:qFormat/>
    <w:rsid w:val="000E36E7"/>
    <w:pPr>
      <w:ind w:left="720"/>
      <w:contextualSpacing/>
    </w:pPr>
  </w:style>
  <w:style w:type="paragraph" w:customStyle="1" w:styleId="Parties">
    <w:name w:val="Parties"/>
    <w:uiPriority w:val="10"/>
    <w:qFormat/>
    <w:rsid w:val="000E36E7"/>
    <w:pPr>
      <w:numPr>
        <w:numId w:val="5"/>
      </w:numPr>
      <w:jc w:val="both"/>
    </w:pPr>
    <w:rPr>
      <w:sz w:val="19"/>
      <w:szCs w:val="19"/>
    </w:rPr>
  </w:style>
  <w:style w:type="character" w:styleId="PlaceholderText">
    <w:name w:val="Placeholder Text"/>
    <w:basedOn w:val="DefaultParagraphFont"/>
    <w:uiPriority w:val="99"/>
    <w:semiHidden/>
    <w:rsid w:val="000E36E7"/>
    <w:rPr>
      <w:color w:val="808080"/>
    </w:rPr>
  </w:style>
  <w:style w:type="paragraph" w:customStyle="1" w:styleId="PrecNote1">
    <w:name w:val="PrecNote1"/>
    <w:uiPriority w:val="99"/>
    <w:qFormat/>
    <w:rsid w:val="000E36E7"/>
    <w:pPr>
      <w:numPr>
        <w:numId w:val="6"/>
      </w:numPr>
      <w:jc w:val="both"/>
    </w:pPr>
    <w:rPr>
      <w:b/>
      <w:i/>
      <w:sz w:val="19"/>
      <w:szCs w:val="19"/>
    </w:rPr>
  </w:style>
  <w:style w:type="paragraph" w:customStyle="1" w:styleId="Recitals">
    <w:name w:val="Recitals"/>
    <w:next w:val="Normal"/>
    <w:uiPriority w:val="10"/>
    <w:qFormat/>
    <w:rsid w:val="000E36E7"/>
    <w:pPr>
      <w:keepNext/>
      <w:jc w:val="both"/>
    </w:pPr>
    <w:rPr>
      <w:b/>
      <w:caps/>
      <w:sz w:val="19"/>
      <w:szCs w:val="19"/>
    </w:rPr>
  </w:style>
  <w:style w:type="paragraph" w:customStyle="1" w:styleId="RecitalsA">
    <w:name w:val="Recitals (A)"/>
    <w:uiPriority w:val="10"/>
    <w:qFormat/>
    <w:rsid w:val="000E36E7"/>
    <w:pPr>
      <w:numPr>
        <w:numId w:val="7"/>
      </w:numPr>
      <w:jc w:val="both"/>
    </w:pPr>
    <w:rPr>
      <w:sz w:val="19"/>
      <w:szCs w:val="19"/>
    </w:rPr>
  </w:style>
  <w:style w:type="paragraph" w:customStyle="1" w:styleId="Schedule1Number">
    <w:name w:val="Schedule 1 Number"/>
    <w:uiPriority w:val="30"/>
    <w:qFormat/>
    <w:rsid w:val="000E36E7"/>
    <w:pPr>
      <w:numPr>
        <w:ilvl w:val="2"/>
        <w:numId w:val="8"/>
      </w:numPr>
      <w:jc w:val="both"/>
    </w:pPr>
    <w:rPr>
      <w:sz w:val="19"/>
      <w:szCs w:val="19"/>
    </w:rPr>
  </w:style>
  <w:style w:type="paragraph" w:customStyle="1" w:styleId="Schedule1Heading">
    <w:name w:val="Schedule 1 Heading"/>
    <w:basedOn w:val="Schedule1Number"/>
    <w:next w:val="Normal"/>
    <w:uiPriority w:val="29"/>
    <w:qFormat/>
    <w:rsid w:val="000E36E7"/>
    <w:pPr>
      <w:keepNext/>
      <w:jc w:val="left"/>
      <w:outlineLvl w:val="0"/>
    </w:pPr>
    <w:rPr>
      <w:b/>
      <w:caps/>
    </w:rPr>
  </w:style>
  <w:style w:type="paragraph" w:customStyle="1" w:styleId="Schedule2Number">
    <w:name w:val="Schedule 2 Number"/>
    <w:uiPriority w:val="30"/>
    <w:qFormat/>
    <w:rsid w:val="000E36E7"/>
    <w:pPr>
      <w:numPr>
        <w:ilvl w:val="3"/>
        <w:numId w:val="8"/>
      </w:numPr>
      <w:jc w:val="both"/>
    </w:pPr>
    <w:rPr>
      <w:sz w:val="19"/>
      <w:szCs w:val="19"/>
    </w:rPr>
  </w:style>
  <w:style w:type="paragraph" w:customStyle="1" w:styleId="Schedule2Heading">
    <w:name w:val="Schedule 2 Heading"/>
    <w:basedOn w:val="Schedule2Number"/>
    <w:next w:val="Body2ALG"/>
    <w:uiPriority w:val="29"/>
    <w:qFormat/>
    <w:rsid w:val="000E36E7"/>
    <w:pPr>
      <w:keepNext/>
      <w:jc w:val="left"/>
      <w:outlineLvl w:val="1"/>
    </w:pPr>
    <w:rPr>
      <w:b/>
    </w:rPr>
  </w:style>
  <w:style w:type="paragraph" w:customStyle="1" w:styleId="Schedule3Number">
    <w:name w:val="Schedule 3 Number"/>
    <w:uiPriority w:val="30"/>
    <w:qFormat/>
    <w:rsid w:val="000E36E7"/>
    <w:pPr>
      <w:numPr>
        <w:ilvl w:val="4"/>
        <w:numId w:val="8"/>
      </w:numPr>
      <w:jc w:val="both"/>
    </w:pPr>
    <w:rPr>
      <w:sz w:val="19"/>
      <w:szCs w:val="19"/>
    </w:rPr>
  </w:style>
  <w:style w:type="paragraph" w:customStyle="1" w:styleId="Schedule3Heading">
    <w:name w:val="Schedule 3 Heading"/>
    <w:basedOn w:val="Schedule3Number"/>
    <w:next w:val="Body3ALG"/>
    <w:uiPriority w:val="29"/>
    <w:qFormat/>
    <w:rsid w:val="000E36E7"/>
    <w:pPr>
      <w:keepNext/>
      <w:jc w:val="left"/>
      <w:outlineLvl w:val="2"/>
    </w:pPr>
    <w:rPr>
      <w:b/>
      <w:i/>
    </w:rPr>
  </w:style>
  <w:style w:type="paragraph" w:customStyle="1" w:styleId="Schedule4Number">
    <w:name w:val="Schedule 4 Number"/>
    <w:uiPriority w:val="30"/>
    <w:qFormat/>
    <w:rsid w:val="000E36E7"/>
    <w:pPr>
      <w:numPr>
        <w:ilvl w:val="5"/>
        <w:numId w:val="8"/>
      </w:numPr>
      <w:jc w:val="both"/>
    </w:pPr>
    <w:rPr>
      <w:sz w:val="19"/>
      <w:szCs w:val="19"/>
    </w:rPr>
  </w:style>
  <w:style w:type="paragraph" w:customStyle="1" w:styleId="Schedule4Heading">
    <w:name w:val="Schedule 4 Heading"/>
    <w:basedOn w:val="Schedule4Number"/>
    <w:next w:val="Body4ALG"/>
    <w:uiPriority w:val="29"/>
    <w:qFormat/>
    <w:rsid w:val="000E36E7"/>
    <w:pPr>
      <w:keepNext/>
      <w:ind w:left="1815" w:hanging="454"/>
    </w:pPr>
    <w:rPr>
      <w:i/>
      <w:lang w:val="en-GB"/>
    </w:rPr>
  </w:style>
  <w:style w:type="paragraph" w:customStyle="1" w:styleId="Schedule5Number">
    <w:name w:val="Schedule 5 Number"/>
    <w:uiPriority w:val="30"/>
    <w:qFormat/>
    <w:rsid w:val="000E36E7"/>
    <w:pPr>
      <w:numPr>
        <w:ilvl w:val="6"/>
        <w:numId w:val="8"/>
      </w:numPr>
      <w:jc w:val="both"/>
    </w:pPr>
    <w:rPr>
      <w:sz w:val="19"/>
      <w:szCs w:val="19"/>
    </w:rPr>
  </w:style>
  <w:style w:type="paragraph" w:customStyle="1" w:styleId="ScheduleHeading">
    <w:name w:val="Schedule Heading"/>
    <w:next w:val="BodyALG"/>
    <w:uiPriority w:val="28"/>
    <w:qFormat/>
    <w:rsid w:val="000E36E7"/>
    <w:pPr>
      <w:pageBreakBefore/>
      <w:widowControl w:val="0"/>
      <w:numPr>
        <w:numId w:val="8"/>
      </w:numPr>
      <w:jc w:val="center"/>
      <w:outlineLvl w:val="0"/>
    </w:pPr>
    <w:rPr>
      <w:b/>
      <w:caps/>
      <w:sz w:val="19"/>
      <w:szCs w:val="19"/>
    </w:rPr>
  </w:style>
  <w:style w:type="paragraph" w:customStyle="1" w:styleId="SchedulePart">
    <w:name w:val="Schedule Part"/>
    <w:next w:val="BodyALG"/>
    <w:uiPriority w:val="28"/>
    <w:qFormat/>
    <w:rsid w:val="000E36E7"/>
    <w:pPr>
      <w:keepNext/>
      <w:widowControl w:val="0"/>
      <w:numPr>
        <w:ilvl w:val="1"/>
        <w:numId w:val="8"/>
      </w:numPr>
      <w:jc w:val="center"/>
      <w:outlineLvl w:val="1"/>
    </w:pPr>
    <w:rPr>
      <w:b/>
      <w:sz w:val="19"/>
      <w:szCs w:val="19"/>
    </w:rPr>
  </w:style>
  <w:style w:type="paragraph" w:customStyle="1" w:styleId="Singleline">
    <w:name w:val="Singleline"/>
    <w:uiPriority w:val="99"/>
    <w:qFormat/>
    <w:rsid w:val="000E36E7"/>
    <w:pPr>
      <w:spacing w:before="0" w:line="240" w:lineRule="auto"/>
      <w:jc w:val="both"/>
    </w:pPr>
    <w:rPr>
      <w:sz w:val="19"/>
      <w:szCs w:val="19"/>
    </w:rPr>
  </w:style>
  <w:style w:type="table" w:styleId="TableGrid">
    <w:name w:val="Table Grid"/>
    <w:basedOn w:val="TableNormal"/>
    <w:uiPriority w:val="59"/>
    <w:rsid w:val="000E36E7"/>
    <w:pPr>
      <w:spacing w:before="0" w:line="240" w:lineRule="auto"/>
      <w:jc w:val="both"/>
    </w:pPr>
    <w:rPr>
      <w:sz w:val="19"/>
      <w:szCs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BodyALG"/>
    <w:autoRedefine/>
    <w:uiPriority w:val="39"/>
    <w:unhideWhenUsed/>
    <w:rsid w:val="000E36E7"/>
    <w:pPr>
      <w:tabs>
        <w:tab w:val="right" w:leader="dot" w:pos="9877"/>
      </w:tabs>
      <w:spacing w:before="120"/>
      <w:ind w:left="624" w:hanging="624"/>
      <w:jc w:val="both"/>
    </w:pPr>
    <w:rPr>
      <w:sz w:val="19"/>
      <w:szCs w:val="19"/>
    </w:rPr>
  </w:style>
  <w:style w:type="paragraph" w:styleId="TOC2">
    <w:name w:val="toc 2"/>
    <w:next w:val="BodyALG"/>
    <w:autoRedefine/>
    <w:uiPriority w:val="39"/>
    <w:unhideWhenUsed/>
    <w:rsid w:val="000E36E7"/>
    <w:pPr>
      <w:tabs>
        <w:tab w:val="right" w:leader="dot" w:pos="9877"/>
      </w:tabs>
      <w:spacing w:before="120"/>
      <w:ind w:left="454" w:hanging="454"/>
      <w:jc w:val="both"/>
    </w:pPr>
    <w:rPr>
      <w:sz w:val="19"/>
      <w:szCs w:val="19"/>
    </w:rPr>
  </w:style>
  <w:style w:type="paragraph" w:styleId="TOC3">
    <w:name w:val="toc 3"/>
    <w:basedOn w:val="TOC1"/>
    <w:next w:val="BodyALG"/>
    <w:autoRedefine/>
    <w:uiPriority w:val="39"/>
    <w:rsid w:val="000E36E7"/>
    <w:pPr>
      <w:ind w:firstLine="0"/>
      <w:jc w:val="center"/>
    </w:pPr>
    <w:rPr>
      <w:noProof/>
    </w:rPr>
  </w:style>
  <w:style w:type="paragraph" w:styleId="TOCHeading">
    <w:name w:val="TOC Heading"/>
    <w:next w:val="Normal"/>
    <w:uiPriority w:val="99"/>
    <w:semiHidden/>
    <w:rsid w:val="000E36E7"/>
    <w:pPr>
      <w:spacing w:line="276" w:lineRule="auto"/>
      <w:jc w:val="center"/>
    </w:pPr>
    <w:rPr>
      <w:rFonts w:eastAsiaTheme="majorEastAsia" w:cstheme="majorBidi"/>
      <w:b/>
      <w:bCs/>
      <w:sz w:val="19"/>
      <w:szCs w:val="28"/>
      <w:lang w:val="en-US" w:eastAsia="ja-JP"/>
    </w:rPr>
  </w:style>
  <w:style w:type="paragraph" w:customStyle="1" w:styleId="TOCTitle">
    <w:name w:val="TOC Title"/>
    <w:basedOn w:val="BodyALG"/>
    <w:next w:val="BodyALG"/>
    <w:uiPriority w:val="99"/>
    <w:unhideWhenUsed/>
    <w:qFormat/>
    <w:rsid w:val="000E36E7"/>
    <w:pPr>
      <w:jc w:val="center"/>
    </w:pPr>
    <w:rPr>
      <w:rFonts w:ascii="Arial Bold" w:hAnsi="Arial Bold"/>
      <w:b/>
      <w:caps/>
    </w:rPr>
  </w:style>
  <w:style w:type="character" w:styleId="FollowedHyperlink">
    <w:name w:val="FollowedHyperlink"/>
    <w:basedOn w:val="DefaultParagraphFont"/>
    <w:uiPriority w:val="99"/>
    <w:semiHidden/>
    <w:unhideWhenUsed/>
    <w:rsid w:val="00160A3D"/>
    <w:rPr>
      <w:color w:val="2CD5C4" w:themeColor="followedHyperlink"/>
      <w:u w:val="single"/>
    </w:rPr>
  </w:style>
  <w:style w:type="character" w:styleId="CommentReference">
    <w:name w:val="annotation reference"/>
    <w:basedOn w:val="DefaultParagraphFont"/>
    <w:uiPriority w:val="99"/>
    <w:semiHidden/>
    <w:unhideWhenUsed/>
    <w:rsid w:val="00F20CAB"/>
    <w:rPr>
      <w:sz w:val="16"/>
      <w:szCs w:val="16"/>
    </w:rPr>
  </w:style>
  <w:style w:type="paragraph" w:styleId="CommentText">
    <w:name w:val="annotation text"/>
    <w:basedOn w:val="Normal"/>
    <w:link w:val="CommentTextChar"/>
    <w:uiPriority w:val="99"/>
    <w:semiHidden/>
    <w:unhideWhenUsed/>
    <w:rsid w:val="00F20CAB"/>
    <w:pPr>
      <w:spacing w:line="240" w:lineRule="auto"/>
    </w:pPr>
    <w:rPr>
      <w:sz w:val="20"/>
      <w:szCs w:val="20"/>
    </w:rPr>
  </w:style>
  <w:style w:type="character" w:customStyle="1" w:styleId="CommentTextChar">
    <w:name w:val="Comment Text Char"/>
    <w:basedOn w:val="DefaultParagraphFont"/>
    <w:link w:val="CommentText"/>
    <w:uiPriority w:val="99"/>
    <w:semiHidden/>
    <w:rsid w:val="00F20CAB"/>
  </w:style>
  <w:style w:type="paragraph" w:styleId="CommentSubject">
    <w:name w:val="annotation subject"/>
    <w:basedOn w:val="CommentText"/>
    <w:next w:val="CommentText"/>
    <w:link w:val="CommentSubjectChar"/>
    <w:uiPriority w:val="99"/>
    <w:semiHidden/>
    <w:unhideWhenUsed/>
    <w:rsid w:val="00F20CAB"/>
    <w:rPr>
      <w:b/>
      <w:bCs/>
    </w:rPr>
  </w:style>
  <w:style w:type="character" w:customStyle="1" w:styleId="CommentSubjectChar">
    <w:name w:val="Comment Subject Char"/>
    <w:basedOn w:val="CommentTextChar"/>
    <w:link w:val="CommentSubject"/>
    <w:uiPriority w:val="99"/>
    <w:semiHidden/>
    <w:rsid w:val="00F20CAB"/>
    <w:rPr>
      <w:b/>
      <w:bCs/>
    </w:rPr>
  </w:style>
  <w:style w:type="paragraph" w:styleId="Revision">
    <w:name w:val="Revision"/>
    <w:hidden/>
    <w:uiPriority w:val="99"/>
    <w:semiHidden/>
    <w:rsid w:val="00136F81"/>
    <w:pPr>
      <w:spacing w:before="0" w:line="240" w:lineRule="auto"/>
    </w:pPr>
    <w:rPr>
      <w:sz w:val="19"/>
      <w:szCs w:val="19"/>
    </w:rPr>
  </w:style>
  <w:style w:type="paragraph" w:styleId="NoSpacing">
    <w:name w:val="No Spacing"/>
    <w:link w:val="NoSpacingChar"/>
    <w:uiPriority w:val="1"/>
    <w:qFormat/>
    <w:rsid w:val="00663EFD"/>
    <w:pPr>
      <w:spacing w:before="0" w:line="240" w:lineRule="auto"/>
    </w:pPr>
    <w:rPr>
      <w:rFonts w:asciiTheme="minorHAnsi" w:eastAsiaTheme="minorEastAsia" w:hAnsiTheme="minorHAnsi"/>
      <w:sz w:val="22"/>
      <w:szCs w:val="22"/>
      <w:lang w:val="en-US"/>
    </w:rPr>
  </w:style>
  <w:style w:type="character" w:customStyle="1" w:styleId="NoSpacingChar">
    <w:name w:val="No Spacing Char"/>
    <w:basedOn w:val="DefaultParagraphFont"/>
    <w:link w:val="NoSpacing"/>
    <w:uiPriority w:val="1"/>
    <w:rsid w:val="00663EFD"/>
    <w:rPr>
      <w:rFonts w:asciiTheme="minorHAnsi" w:eastAsiaTheme="minorEastAsia" w:hAnsiTheme="minorHAnsi"/>
      <w:sz w:val="22"/>
      <w:szCs w:val="22"/>
      <w:lang w:val="en-US"/>
    </w:rPr>
  </w:style>
  <w:style w:type="paragraph" w:customStyle="1" w:styleId="ContactNameContacts">
    <w:name w:val="Contact Name (Contacts)"/>
    <w:basedOn w:val="Normal"/>
    <w:next w:val="Normal"/>
    <w:uiPriority w:val="99"/>
    <w:rsid w:val="0022352A"/>
    <w:pPr>
      <w:keepLines/>
      <w:suppressAutoHyphens/>
      <w:autoSpaceDE w:val="0"/>
      <w:autoSpaceDN w:val="0"/>
      <w:adjustRightInd w:val="0"/>
      <w:spacing w:before="0" w:line="210" w:lineRule="atLeast"/>
      <w:jc w:val="left"/>
      <w:textAlignment w:val="center"/>
    </w:pPr>
    <w:rPr>
      <w:rFonts w:ascii="Lato" w:hAnsi="Lato" w:cs="Lato"/>
      <w:b/>
      <w:bCs/>
      <w:color w:val="19D2C5"/>
      <w:sz w:val="17"/>
      <w:szCs w:val="17"/>
      <w:lang w:val="en-US"/>
    </w:rPr>
  </w:style>
  <w:style w:type="paragraph" w:customStyle="1" w:styleId="IntrogreenparaBasicText">
    <w:name w:val="Intro green para (Basic Text)"/>
    <w:basedOn w:val="Normal"/>
    <w:next w:val="Normal"/>
    <w:uiPriority w:val="99"/>
    <w:rsid w:val="001701F9"/>
    <w:pPr>
      <w:suppressAutoHyphens/>
      <w:autoSpaceDE w:val="0"/>
      <w:autoSpaceDN w:val="0"/>
      <w:adjustRightInd w:val="0"/>
      <w:spacing w:before="0" w:after="170" w:line="360" w:lineRule="atLeast"/>
      <w:jc w:val="left"/>
      <w:textAlignment w:val="center"/>
    </w:pPr>
    <w:rPr>
      <w:rFonts w:ascii="Lato" w:hAnsi="Lato" w:cs="Lato"/>
      <w:color w:val="19D2C5"/>
      <w:sz w:val="28"/>
      <w:szCs w:val="28"/>
      <w:lang w:val="en-US"/>
    </w:rPr>
  </w:style>
  <w:style w:type="paragraph" w:customStyle="1" w:styleId="BodyTextBasicText">
    <w:name w:val="Body Text (Basic Text)"/>
    <w:basedOn w:val="Normal"/>
    <w:uiPriority w:val="99"/>
    <w:rsid w:val="00730C00"/>
    <w:pPr>
      <w:suppressAutoHyphens/>
      <w:autoSpaceDE w:val="0"/>
      <w:autoSpaceDN w:val="0"/>
      <w:adjustRightInd w:val="0"/>
      <w:spacing w:before="0" w:after="170" w:line="240" w:lineRule="atLeast"/>
      <w:jc w:val="left"/>
      <w:textAlignment w:val="center"/>
    </w:pPr>
    <w:rPr>
      <w:rFonts w:ascii="Lato" w:hAnsi="Lato" w:cs="Lato"/>
      <w:color w:val="3C3835"/>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2010">
      <w:bodyDiv w:val="1"/>
      <w:marLeft w:val="0"/>
      <w:marRight w:val="0"/>
      <w:marTop w:val="0"/>
      <w:marBottom w:val="0"/>
      <w:divBdr>
        <w:top w:val="none" w:sz="0" w:space="0" w:color="auto"/>
        <w:left w:val="none" w:sz="0" w:space="0" w:color="auto"/>
        <w:bottom w:val="none" w:sz="0" w:space="0" w:color="auto"/>
        <w:right w:val="none" w:sz="0" w:space="0" w:color="auto"/>
      </w:divBdr>
    </w:div>
    <w:div w:id="61100845">
      <w:bodyDiv w:val="1"/>
      <w:marLeft w:val="0"/>
      <w:marRight w:val="0"/>
      <w:marTop w:val="0"/>
      <w:marBottom w:val="0"/>
      <w:divBdr>
        <w:top w:val="none" w:sz="0" w:space="0" w:color="auto"/>
        <w:left w:val="none" w:sz="0" w:space="0" w:color="auto"/>
        <w:bottom w:val="none" w:sz="0" w:space="0" w:color="auto"/>
        <w:right w:val="none" w:sz="0" w:space="0" w:color="auto"/>
      </w:divBdr>
    </w:div>
    <w:div w:id="64880827">
      <w:bodyDiv w:val="1"/>
      <w:marLeft w:val="0"/>
      <w:marRight w:val="0"/>
      <w:marTop w:val="0"/>
      <w:marBottom w:val="0"/>
      <w:divBdr>
        <w:top w:val="none" w:sz="0" w:space="0" w:color="auto"/>
        <w:left w:val="none" w:sz="0" w:space="0" w:color="auto"/>
        <w:bottom w:val="none" w:sz="0" w:space="0" w:color="auto"/>
        <w:right w:val="none" w:sz="0" w:space="0" w:color="auto"/>
      </w:divBdr>
    </w:div>
    <w:div w:id="66659609">
      <w:bodyDiv w:val="1"/>
      <w:marLeft w:val="0"/>
      <w:marRight w:val="0"/>
      <w:marTop w:val="0"/>
      <w:marBottom w:val="0"/>
      <w:divBdr>
        <w:top w:val="none" w:sz="0" w:space="0" w:color="auto"/>
        <w:left w:val="none" w:sz="0" w:space="0" w:color="auto"/>
        <w:bottom w:val="none" w:sz="0" w:space="0" w:color="auto"/>
        <w:right w:val="none" w:sz="0" w:space="0" w:color="auto"/>
      </w:divBdr>
    </w:div>
    <w:div w:id="111019337">
      <w:bodyDiv w:val="1"/>
      <w:marLeft w:val="0"/>
      <w:marRight w:val="0"/>
      <w:marTop w:val="0"/>
      <w:marBottom w:val="0"/>
      <w:divBdr>
        <w:top w:val="none" w:sz="0" w:space="0" w:color="auto"/>
        <w:left w:val="none" w:sz="0" w:space="0" w:color="auto"/>
        <w:bottom w:val="none" w:sz="0" w:space="0" w:color="auto"/>
        <w:right w:val="none" w:sz="0" w:space="0" w:color="auto"/>
      </w:divBdr>
    </w:div>
    <w:div w:id="200868017">
      <w:bodyDiv w:val="1"/>
      <w:marLeft w:val="0"/>
      <w:marRight w:val="0"/>
      <w:marTop w:val="0"/>
      <w:marBottom w:val="0"/>
      <w:divBdr>
        <w:top w:val="none" w:sz="0" w:space="0" w:color="auto"/>
        <w:left w:val="none" w:sz="0" w:space="0" w:color="auto"/>
        <w:bottom w:val="none" w:sz="0" w:space="0" w:color="auto"/>
        <w:right w:val="none" w:sz="0" w:space="0" w:color="auto"/>
      </w:divBdr>
    </w:div>
    <w:div w:id="205606775">
      <w:bodyDiv w:val="1"/>
      <w:marLeft w:val="0"/>
      <w:marRight w:val="0"/>
      <w:marTop w:val="0"/>
      <w:marBottom w:val="0"/>
      <w:divBdr>
        <w:top w:val="none" w:sz="0" w:space="0" w:color="auto"/>
        <w:left w:val="none" w:sz="0" w:space="0" w:color="auto"/>
        <w:bottom w:val="none" w:sz="0" w:space="0" w:color="auto"/>
        <w:right w:val="none" w:sz="0" w:space="0" w:color="auto"/>
      </w:divBdr>
    </w:div>
    <w:div w:id="272327951">
      <w:bodyDiv w:val="1"/>
      <w:marLeft w:val="0"/>
      <w:marRight w:val="0"/>
      <w:marTop w:val="0"/>
      <w:marBottom w:val="0"/>
      <w:divBdr>
        <w:top w:val="none" w:sz="0" w:space="0" w:color="auto"/>
        <w:left w:val="none" w:sz="0" w:space="0" w:color="auto"/>
        <w:bottom w:val="none" w:sz="0" w:space="0" w:color="auto"/>
        <w:right w:val="none" w:sz="0" w:space="0" w:color="auto"/>
      </w:divBdr>
    </w:div>
    <w:div w:id="644890210">
      <w:bodyDiv w:val="1"/>
      <w:marLeft w:val="0"/>
      <w:marRight w:val="0"/>
      <w:marTop w:val="0"/>
      <w:marBottom w:val="0"/>
      <w:divBdr>
        <w:top w:val="none" w:sz="0" w:space="0" w:color="auto"/>
        <w:left w:val="none" w:sz="0" w:space="0" w:color="auto"/>
        <w:bottom w:val="none" w:sz="0" w:space="0" w:color="auto"/>
        <w:right w:val="none" w:sz="0" w:space="0" w:color="auto"/>
      </w:divBdr>
    </w:div>
    <w:div w:id="793909300">
      <w:bodyDiv w:val="1"/>
      <w:marLeft w:val="0"/>
      <w:marRight w:val="0"/>
      <w:marTop w:val="0"/>
      <w:marBottom w:val="0"/>
      <w:divBdr>
        <w:top w:val="none" w:sz="0" w:space="0" w:color="auto"/>
        <w:left w:val="none" w:sz="0" w:space="0" w:color="auto"/>
        <w:bottom w:val="none" w:sz="0" w:space="0" w:color="auto"/>
        <w:right w:val="none" w:sz="0" w:space="0" w:color="auto"/>
      </w:divBdr>
    </w:div>
    <w:div w:id="843083717">
      <w:bodyDiv w:val="1"/>
      <w:marLeft w:val="0"/>
      <w:marRight w:val="0"/>
      <w:marTop w:val="0"/>
      <w:marBottom w:val="0"/>
      <w:divBdr>
        <w:top w:val="none" w:sz="0" w:space="0" w:color="auto"/>
        <w:left w:val="none" w:sz="0" w:space="0" w:color="auto"/>
        <w:bottom w:val="none" w:sz="0" w:space="0" w:color="auto"/>
        <w:right w:val="none" w:sz="0" w:space="0" w:color="auto"/>
      </w:divBdr>
    </w:div>
    <w:div w:id="909314440">
      <w:bodyDiv w:val="1"/>
      <w:marLeft w:val="0"/>
      <w:marRight w:val="0"/>
      <w:marTop w:val="0"/>
      <w:marBottom w:val="0"/>
      <w:divBdr>
        <w:top w:val="none" w:sz="0" w:space="0" w:color="auto"/>
        <w:left w:val="none" w:sz="0" w:space="0" w:color="auto"/>
        <w:bottom w:val="none" w:sz="0" w:space="0" w:color="auto"/>
        <w:right w:val="none" w:sz="0" w:space="0" w:color="auto"/>
      </w:divBdr>
    </w:div>
    <w:div w:id="932473052">
      <w:bodyDiv w:val="1"/>
      <w:marLeft w:val="0"/>
      <w:marRight w:val="0"/>
      <w:marTop w:val="0"/>
      <w:marBottom w:val="0"/>
      <w:divBdr>
        <w:top w:val="none" w:sz="0" w:space="0" w:color="auto"/>
        <w:left w:val="none" w:sz="0" w:space="0" w:color="auto"/>
        <w:bottom w:val="none" w:sz="0" w:space="0" w:color="auto"/>
        <w:right w:val="none" w:sz="0" w:space="0" w:color="auto"/>
      </w:divBdr>
    </w:div>
    <w:div w:id="998850057">
      <w:bodyDiv w:val="1"/>
      <w:marLeft w:val="0"/>
      <w:marRight w:val="0"/>
      <w:marTop w:val="0"/>
      <w:marBottom w:val="0"/>
      <w:divBdr>
        <w:top w:val="none" w:sz="0" w:space="0" w:color="auto"/>
        <w:left w:val="none" w:sz="0" w:space="0" w:color="auto"/>
        <w:bottom w:val="none" w:sz="0" w:space="0" w:color="auto"/>
        <w:right w:val="none" w:sz="0" w:space="0" w:color="auto"/>
      </w:divBdr>
    </w:div>
    <w:div w:id="1017467223">
      <w:bodyDiv w:val="1"/>
      <w:marLeft w:val="0"/>
      <w:marRight w:val="0"/>
      <w:marTop w:val="0"/>
      <w:marBottom w:val="0"/>
      <w:divBdr>
        <w:top w:val="none" w:sz="0" w:space="0" w:color="auto"/>
        <w:left w:val="none" w:sz="0" w:space="0" w:color="auto"/>
        <w:bottom w:val="none" w:sz="0" w:space="0" w:color="auto"/>
        <w:right w:val="none" w:sz="0" w:space="0" w:color="auto"/>
      </w:divBdr>
    </w:div>
    <w:div w:id="1222131815">
      <w:bodyDiv w:val="1"/>
      <w:marLeft w:val="0"/>
      <w:marRight w:val="0"/>
      <w:marTop w:val="0"/>
      <w:marBottom w:val="0"/>
      <w:divBdr>
        <w:top w:val="none" w:sz="0" w:space="0" w:color="auto"/>
        <w:left w:val="none" w:sz="0" w:space="0" w:color="auto"/>
        <w:bottom w:val="none" w:sz="0" w:space="0" w:color="auto"/>
        <w:right w:val="none" w:sz="0" w:space="0" w:color="auto"/>
      </w:divBdr>
    </w:div>
    <w:div w:id="1228808102">
      <w:bodyDiv w:val="1"/>
      <w:marLeft w:val="0"/>
      <w:marRight w:val="0"/>
      <w:marTop w:val="0"/>
      <w:marBottom w:val="0"/>
      <w:divBdr>
        <w:top w:val="none" w:sz="0" w:space="0" w:color="auto"/>
        <w:left w:val="none" w:sz="0" w:space="0" w:color="auto"/>
        <w:bottom w:val="none" w:sz="0" w:space="0" w:color="auto"/>
        <w:right w:val="none" w:sz="0" w:space="0" w:color="auto"/>
      </w:divBdr>
    </w:div>
    <w:div w:id="1243494035">
      <w:bodyDiv w:val="1"/>
      <w:marLeft w:val="0"/>
      <w:marRight w:val="0"/>
      <w:marTop w:val="0"/>
      <w:marBottom w:val="0"/>
      <w:divBdr>
        <w:top w:val="none" w:sz="0" w:space="0" w:color="auto"/>
        <w:left w:val="none" w:sz="0" w:space="0" w:color="auto"/>
        <w:bottom w:val="none" w:sz="0" w:space="0" w:color="auto"/>
        <w:right w:val="none" w:sz="0" w:space="0" w:color="auto"/>
      </w:divBdr>
    </w:div>
    <w:div w:id="1271085698">
      <w:bodyDiv w:val="1"/>
      <w:marLeft w:val="0"/>
      <w:marRight w:val="0"/>
      <w:marTop w:val="0"/>
      <w:marBottom w:val="0"/>
      <w:divBdr>
        <w:top w:val="none" w:sz="0" w:space="0" w:color="auto"/>
        <w:left w:val="none" w:sz="0" w:space="0" w:color="auto"/>
        <w:bottom w:val="none" w:sz="0" w:space="0" w:color="auto"/>
        <w:right w:val="none" w:sz="0" w:space="0" w:color="auto"/>
      </w:divBdr>
    </w:div>
    <w:div w:id="1336035770">
      <w:bodyDiv w:val="1"/>
      <w:marLeft w:val="0"/>
      <w:marRight w:val="0"/>
      <w:marTop w:val="0"/>
      <w:marBottom w:val="0"/>
      <w:divBdr>
        <w:top w:val="none" w:sz="0" w:space="0" w:color="auto"/>
        <w:left w:val="none" w:sz="0" w:space="0" w:color="auto"/>
        <w:bottom w:val="none" w:sz="0" w:space="0" w:color="auto"/>
        <w:right w:val="none" w:sz="0" w:space="0" w:color="auto"/>
      </w:divBdr>
    </w:div>
    <w:div w:id="1415739466">
      <w:bodyDiv w:val="1"/>
      <w:marLeft w:val="0"/>
      <w:marRight w:val="0"/>
      <w:marTop w:val="0"/>
      <w:marBottom w:val="0"/>
      <w:divBdr>
        <w:top w:val="none" w:sz="0" w:space="0" w:color="auto"/>
        <w:left w:val="none" w:sz="0" w:space="0" w:color="auto"/>
        <w:bottom w:val="none" w:sz="0" w:space="0" w:color="auto"/>
        <w:right w:val="none" w:sz="0" w:space="0" w:color="auto"/>
      </w:divBdr>
    </w:div>
    <w:div w:id="1448039986">
      <w:bodyDiv w:val="1"/>
      <w:marLeft w:val="0"/>
      <w:marRight w:val="0"/>
      <w:marTop w:val="0"/>
      <w:marBottom w:val="0"/>
      <w:divBdr>
        <w:top w:val="none" w:sz="0" w:space="0" w:color="auto"/>
        <w:left w:val="none" w:sz="0" w:space="0" w:color="auto"/>
        <w:bottom w:val="none" w:sz="0" w:space="0" w:color="auto"/>
        <w:right w:val="none" w:sz="0" w:space="0" w:color="auto"/>
      </w:divBdr>
    </w:div>
    <w:div w:id="1477141419">
      <w:bodyDiv w:val="1"/>
      <w:marLeft w:val="0"/>
      <w:marRight w:val="0"/>
      <w:marTop w:val="0"/>
      <w:marBottom w:val="0"/>
      <w:divBdr>
        <w:top w:val="none" w:sz="0" w:space="0" w:color="auto"/>
        <w:left w:val="none" w:sz="0" w:space="0" w:color="auto"/>
        <w:bottom w:val="none" w:sz="0" w:space="0" w:color="auto"/>
        <w:right w:val="none" w:sz="0" w:space="0" w:color="auto"/>
      </w:divBdr>
    </w:div>
    <w:div w:id="1664550217">
      <w:bodyDiv w:val="1"/>
      <w:marLeft w:val="0"/>
      <w:marRight w:val="0"/>
      <w:marTop w:val="0"/>
      <w:marBottom w:val="0"/>
      <w:divBdr>
        <w:top w:val="none" w:sz="0" w:space="0" w:color="auto"/>
        <w:left w:val="none" w:sz="0" w:space="0" w:color="auto"/>
        <w:bottom w:val="none" w:sz="0" w:space="0" w:color="auto"/>
        <w:right w:val="none" w:sz="0" w:space="0" w:color="auto"/>
      </w:divBdr>
    </w:div>
    <w:div w:id="1707294708">
      <w:bodyDiv w:val="1"/>
      <w:marLeft w:val="0"/>
      <w:marRight w:val="0"/>
      <w:marTop w:val="0"/>
      <w:marBottom w:val="0"/>
      <w:divBdr>
        <w:top w:val="none" w:sz="0" w:space="0" w:color="auto"/>
        <w:left w:val="none" w:sz="0" w:space="0" w:color="auto"/>
        <w:bottom w:val="none" w:sz="0" w:space="0" w:color="auto"/>
        <w:right w:val="none" w:sz="0" w:space="0" w:color="auto"/>
      </w:divBdr>
    </w:div>
    <w:div w:id="1717270243">
      <w:bodyDiv w:val="1"/>
      <w:marLeft w:val="0"/>
      <w:marRight w:val="0"/>
      <w:marTop w:val="0"/>
      <w:marBottom w:val="0"/>
      <w:divBdr>
        <w:top w:val="none" w:sz="0" w:space="0" w:color="auto"/>
        <w:left w:val="none" w:sz="0" w:space="0" w:color="auto"/>
        <w:bottom w:val="none" w:sz="0" w:space="0" w:color="auto"/>
        <w:right w:val="none" w:sz="0" w:space="0" w:color="auto"/>
      </w:divBdr>
    </w:div>
    <w:div w:id="1778210675">
      <w:bodyDiv w:val="1"/>
      <w:marLeft w:val="0"/>
      <w:marRight w:val="0"/>
      <w:marTop w:val="0"/>
      <w:marBottom w:val="0"/>
      <w:divBdr>
        <w:top w:val="none" w:sz="0" w:space="0" w:color="auto"/>
        <w:left w:val="none" w:sz="0" w:space="0" w:color="auto"/>
        <w:bottom w:val="none" w:sz="0" w:space="0" w:color="auto"/>
        <w:right w:val="none" w:sz="0" w:space="0" w:color="auto"/>
      </w:divBdr>
    </w:div>
    <w:div w:id="1814054613">
      <w:bodyDiv w:val="1"/>
      <w:marLeft w:val="0"/>
      <w:marRight w:val="0"/>
      <w:marTop w:val="0"/>
      <w:marBottom w:val="0"/>
      <w:divBdr>
        <w:top w:val="none" w:sz="0" w:space="0" w:color="auto"/>
        <w:left w:val="none" w:sz="0" w:space="0" w:color="auto"/>
        <w:bottom w:val="none" w:sz="0" w:space="0" w:color="auto"/>
        <w:right w:val="none" w:sz="0" w:space="0" w:color="auto"/>
      </w:divBdr>
    </w:div>
    <w:div w:id="1854762661">
      <w:bodyDiv w:val="1"/>
      <w:marLeft w:val="0"/>
      <w:marRight w:val="0"/>
      <w:marTop w:val="0"/>
      <w:marBottom w:val="0"/>
      <w:divBdr>
        <w:top w:val="none" w:sz="0" w:space="0" w:color="auto"/>
        <w:left w:val="none" w:sz="0" w:space="0" w:color="auto"/>
        <w:bottom w:val="none" w:sz="0" w:space="0" w:color="auto"/>
        <w:right w:val="none" w:sz="0" w:space="0" w:color="auto"/>
      </w:divBdr>
    </w:div>
    <w:div w:id="1868564377">
      <w:bodyDiv w:val="1"/>
      <w:marLeft w:val="0"/>
      <w:marRight w:val="0"/>
      <w:marTop w:val="0"/>
      <w:marBottom w:val="0"/>
      <w:divBdr>
        <w:top w:val="none" w:sz="0" w:space="0" w:color="auto"/>
        <w:left w:val="none" w:sz="0" w:space="0" w:color="auto"/>
        <w:bottom w:val="none" w:sz="0" w:space="0" w:color="auto"/>
        <w:right w:val="none" w:sz="0" w:space="0" w:color="auto"/>
      </w:divBdr>
    </w:div>
    <w:div w:id="1952200068">
      <w:bodyDiv w:val="1"/>
      <w:marLeft w:val="0"/>
      <w:marRight w:val="0"/>
      <w:marTop w:val="0"/>
      <w:marBottom w:val="0"/>
      <w:divBdr>
        <w:top w:val="none" w:sz="0" w:space="0" w:color="auto"/>
        <w:left w:val="none" w:sz="0" w:space="0" w:color="auto"/>
        <w:bottom w:val="none" w:sz="0" w:space="0" w:color="auto"/>
        <w:right w:val="none" w:sz="0" w:space="0" w:color="auto"/>
      </w:divBdr>
    </w:div>
    <w:div w:id="1999452366">
      <w:bodyDiv w:val="1"/>
      <w:marLeft w:val="0"/>
      <w:marRight w:val="0"/>
      <w:marTop w:val="0"/>
      <w:marBottom w:val="0"/>
      <w:divBdr>
        <w:top w:val="none" w:sz="0" w:space="0" w:color="auto"/>
        <w:left w:val="none" w:sz="0" w:space="0" w:color="auto"/>
        <w:bottom w:val="none" w:sz="0" w:space="0" w:color="auto"/>
        <w:right w:val="none" w:sz="0" w:space="0" w:color="auto"/>
      </w:divBdr>
    </w:div>
    <w:div w:id="201093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lgoodbody.com/insights-publications/covid-19-range-of-banking-measures-announced-due-to-the-pandemic" TargetMode="External"/><Relationship Id="rId21" Type="http://schemas.openxmlformats.org/officeDocument/2006/relationships/hyperlink" Target="https://www.centralbank.ie/news/article/press-release-central-bank-actions-will-contribute-to-easing-economic-impact-of-covid-pandemic--7-april-2020" TargetMode="External"/><Relationship Id="rId63" Type="http://schemas.openxmlformats.org/officeDocument/2006/relationships/hyperlink" Target="https://www.centralbank.ie/consumer-hub/covid-19/faq-for-regulated-firms" TargetMode="External"/><Relationship Id="rId159" Type="http://schemas.openxmlformats.org/officeDocument/2006/relationships/hyperlink" Target="https://service.betterregulation.com/document/509212" TargetMode="External"/><Relationship Id="rId170" Type="http://schemas.openxmlformats.org/officeDocument/2006/relationships/hyperlink" Target="https://www.ecb.europa.eu/press/pr/date/2020/html/ecb.pr200508~165acfffad.en.html" TargetMode="External"/><Relationship Id="rId226" Type="http://schemas.openxmlformats.org/officeDocument/2006/relationships/hyperlink" Target="https://www.ecb.europa.eu/pub/financial-stability/macroprudential-bulletin/html/ecb.mpbu202104_2~a205b46756.en.html" TargetMode="External"/><Relationship Id="rId268" Type="http://schemas.openxmlformats.org/officeDocument/2006/relationships/hyperlink" Target="https://www.esma.europa.eu/sites/default/files/library/esma34-39-1096_esma_statement_mmf_art35.pdf" TargetMode="External"/><Relationship Id="rId32" Type="http://schemas.openxmlformats.org/officeDocument/2006/relationships/hyperlink" Target="https://www.centralbank.ie/regulation/covid19-flexibility-measures/credit-institutions" TargetMode="External"/><Relationship Id="rId74" Type="http://schemas.openxmlformats.org/officeDocument/2006/relationships/hyperlink" Target="https://centralbank.ie/statistics/statistical-publications/behind-the-data/covid-19-payment-breaks-who-continues-to-avail-of-them" TargetMode="External"/><Relationship Id="rId128" Type="http://schemas.openxmlformats.org/officeDocument/2006/relationships/hyperlink" Target="https://eba.europa.eu/sites/default/documents/files/document_library/News%20and%20Press/Press%20Room/Press%20Releases/2020/EBA%20Provides%20further%20guidance%20on%20the%20use%20of%20flexibility%20in%20relation%20to%20COVID-19%20and%20Calls%20for%20heightened%20attention%20to%20risks/882755/EBA%20Statement%20on%20the%20application%20of%20the%20prudential%20framework%20on%20targeted%20aspects%20in%20the%20area%20of%20market%20risk%20in%20the%20COVID-19.pdf" TargetMode="External"/><Relationship Id="rId5" Type="http://schemas.openxmlformats.org/officeDocument/2006/relationships/settings" Target="settings.xml"/><Relationship Id="rId181" Type="http://schemas.openxmlformats.org/officeDocument/2006/relationships/hyperlink" Target="https://www.ecb.europa.eu/press/pr/date/2020/html/ecb.pr200619~8badb7725d.en.html" TargetMode="External"/><Relationship Id="rId237" Type="http://schemas.openxmlformats.org/officeDocument/2006/relationships/hyperlink" Target="https://www.esma.europa.eu/sites/default/files/library/esma70-155-9848_opinion_on_fma_emergency_measure_under_the_ssr.pdf" TargetMode="External"/><Relationship Id="rId279" Type="http://schemas.openxmlformats.org/officeDocument/2006/relationships/hyperlink" Target="https://www.algoodbody.com/covid-19-coronavirus-hub" TargetMode="External"/><Relationship Id="rId43" Type="http://schemas.openxmlformats.org/officeDocument/2006/relationships/hyperlink" Target="https://www.centralbank.ie/news/article/blog-transparency-accountability-and-central-banking" TargetMode="External"/><Relationship Id="rId139" Type="http://schemas.openxmlformats.org/officeDocument/2006/relationships/hyperlink" Target="https://eba.europa.eu/sites/default/documents/files/document_library/Publications/Guidelines/2020/Guidelines%20on%20legislative%20and%20non-legislative%20moratoria%20on%20loan%20repayments%20applied%20in%20the%20light%20of%20the%20COVID-19%20crisis/882537/EBA-GL-2020-02%20Guidelines%20on%20payment%20moratoria.pdf" TargetMode="External"/><Relationship Id="rId85" Type="http://schemas.openxmlformats.org/officeDocument/2006/relationships/hyperlink" Target="http://www.centralbank.ie/docs/default-source/publications/financial-stability-notes/no-9-repricing-of-risk-and-eme-assets-the-behaviour-of-irish-domiciled-funds-during-the-covid-19-crisis-(calo-emter-and-galstyan).pdf?sfvrsn=5" TargetMode="External"/><Relationship Id="rId150" Type="http://schemas.openxmlformats.org/officeDocument/2006/relationships/hyperlink" Target="https://eba.europa.eu/eu-financial-regulators-assess-risks-financial-sector-after-outbreak-covid-19-and-call-enhanced" TargetMode="External"/><Relationship Id="rId171" Type="http://schemas.openxmlformats.org/officeDocument/2006/relationships/hyperlink" Target="https://www.bankingsupervision.europa.eu/ecb/pub/pdf/ssm.mepletter200525_Schaffler~4b5ffb68c8.en.pdf?302a844401c6795d351abfdbd49e00b7" TargetMode="External"/><Relationship Id="rId192" Type="http://schemas.openxmlformats.org/officeDocument/2006/relationships/hyperlink" Target="https://www.bankingsupervision.europa.eu/press/pr/date/2020/html/ssm.pr200917~eaa01392ca.en.html" TargetMode="External"/><Relationship Id="rId206" Type="http://schemas.openxmlformats.org/officeDocument/2006/relationships/hyperlink" Target="https://www.bankingsupervision.europa.eu/press/letterstobanks/shared/pdf/2020/ssm.201215_letter_remuneration_policies_in_the_context_of_the_coronavirus_COVID_19_pandemic.en.pdf" TargetMode="External"/><Relationship Id="rId227" Type="http://schemas.openxmlformats.org/officeDocument/2006/relationships/hyperlink" Target="https://www.bankingsupervision.europa.eu/press/publications/html/index.en.html" TargetMode="External"/><Relationship Id="rId248" Type="http://schemas.openxmlformats.org/officeDocument/2006/relationships/hyperlink" Target="https://www.algoodbody.com/insights-publications/esma-announcement-on-mifid-ii-requirements-for-telephone-recordings" TargetMode="External"/><Relationship Id="rId269" Type="http://schemas.openxmlformats.org/officeDocument/2006/relationships/hyperlink" Target="https://www.esma.europa.eu/press-news/esma-news/esma-recommends-supervisory-coordination-accounting-covid-19-related-rent" TargetMode="External"/><Relationship Id="rId12" Type="http://schemas.openxmlformats.org/officeDocument/2006/relationships/hyperlink" Target="https://www.algoodbody.com/insights-publications/covid-19-cbi-statement" TargetMode="External"/><Relationship Id="rId33" Type="http://schemas.openxmlformats.org/officeDocument/2006/relationships/hyperlink" Target="https://www.centralbank.ie/news/article/press-release-central-bank-publishes-research-on-understanding-smes-in-the-covid-19-pandemic-23-april-2020" TargetMode="External"/><Relationship Id="rId108" Type="http://schemas.openxmlformats.org/officeDocument/2006/relationships/hyperlink" Target="https://www.centralbank.ie/news/article/lessons-from-covid-a-macroprudential-framework-for-the-market-based-finance-sector" TargetMode="External"/><Relationship Id="rId129" Type="http://schemas.openxmlformats.org/officeDocument/2006/relationships/hyperlink" Target="https://www.algoodbody.com/insights-publications/were-from-the-regulator-and-were-here-to-help-bank-regulatory-responses-to-the-covid-19-crisis" TargetMode="External"/><Relationship Id="rId280" Type="http://schemas.openxmlformats.org/officeDocument/2006/relationships/hyperlink" Target="https://www.algoodbody.com/covid-19-coronavirus-hub" TargetMode="External"/><Relationship Id="rId54" Type="http://schemas.openxmlformats.org/officeDocument/2006/relationships/hyperlink" Target="https://www.centralbank.ie/news/article/speech-case-for-macroprudential-tools-for-mbf-covid-lessons-governor-makhlouf-29-june-2020" TargetMode="External"/><Relationship Id="rId75" Type="http://schemas.openxmlformats.org/officeDocument/2006/relationships/hyperlink" Target="https://www.centralbank.ie/news/article/press-release-irish-households-more-resilient-to-covid-19-economic-impact-than-to-financial-crisis-22-september-2020" TargetMode="External"/><Relationship Id="rId96" Type="http://schemas.openxmlformats.org/officeDocument/2006/relationships/hyperlink" Target="https://www.centralbank.ie/docs/default-source/consumer-hub-library/covid-19/dear-ceo-letter---expectations-for-lenders-in-supporting-borrowers-affected-by-the-covid-19-pandemic.pdf?sfvrsn=4" TargetMode="External"/><Relationship Id="rId140" Type="http://schemas.openxmlformats.org/officeDocument/2006/relationships/hyperlink" Target="https://eba.europa.eu/eba-provides-clarity-implementation-prudential-framework-context-covid-19" TargetMode="External"/><Relationship Id="rId161" Type="http://schemas.openxmlformats.org/officeDocument/2006/relationships/hyperlink" Target="https://www.bankingsupervision.europa.eu/press/pr/date/2020/html/ssm.pr200320~4cdbbcf466.en.html" TargetMode="External"/><Relationship Id="rId182" Type="http://schemas.openxmlformats.org/officeDocument/2006/relationships/hyperlink" Target="https://www.ecb.europa.eu/press/pr/date/2020/html/ecb.pr200625~60373986e5.en.html" TargetMode="External"/><Relationship Id="rId217" Type="http://schemas.openxmlformats.org/officeDocument/2006/relationships/hyperlink" Target="https://www.ecb.europa.eu/pub/economic-bulletin/articles/2021/html/ecb.ebart202101_03~c5595cd291.en.html" TargetMode="External"/><Relationship Id="rId6" Type="http://schemas.openxmlformats.org/officeDocument/2006/relationships/webSettings" Target="webSettings.xml"/><Relationship Id="rId238" Type="http://schemas.openxmlformats.org/officeDocument/2006/relationships/hyperlink" Target="https://www.esma.europa.eu/sites/default/files/library/esma70-155-9565_opinion_on_consob_emergency_measure_under_the_ssr_all_shares.pdf" TargetMode="External"/><Relationship Id="rId259" Type="http://schemas.openxmlformats.org/officeDocument/2006/relationships/hyperlink" Target="https://www.esma.europa.eu/press-news/esma-news/esma-issues-new-qa-alternative-performance-measures-in-context-covid-19" TargetMode="External"/><Relationship Id="rId23" Type="http://schemas.openxmlformats.org/officeDocument/2006/relationships/hyperlink" Target="https://www.centralbank.ie/docs/default-source/publications/financial-stability-notes/no-1-releasing-the-ccyb-to-support-the-economy-in-a-time-of-stress-(denora-o'brien-and-o'brien).pdf" TargetMode="External"/><Relationship Id="rId119" Type="http://schemas.openxmlformats.org/officeDocument/2006/relationships/hyperlink" Target="https://eba.europa.eu/sites/default/documents/files/document_library/News%20and%20Press/Press%20Room/Press%20Releases/2020/EBA%20provides%20clarity%20to%20banks%20and%20consumers%20on%20the%20application%20of%20the%20prudential%20framework%20in%20light%20of%20COVID-19%20measures/Statement%20on%20consumer%20protection%20and%20payments%20in%20the%20COVID19%20crisis.pdf" TargetMode="External"/><Relationship Id="rId270" Type="http://schemas.openxmlformats.org/officeDocument/2006/relationships/hyperlink" Target="https://www.esma.europa.eu/press-news/esma-news/risk-parameters-in-esma%E2%80%99s-guidelines-stress-test-scenarios-under-money-markets" TargetMode="External"/><Relationship Id="rId44" Type="http://schemas.openxmlformats.org/officeDocument/2006/relationships/hyperlink" Target="file:///C:\NRPortbl\MAIN\PBRANDT\speech-protecting-consumers-investors-smes-derville-rowland-5-june-2020" TargetMode="External"/><Relationship Id="rId65" Type="http://schemas.openxmlformats.org/officeDocument/2006/relationships/hyperlink" Target="https://www.centralbank.ie/news/article/press-release-covid-19-business-interruption-insurance-supervisory-framework-5-august-2020" TargetMode="External"/><Relationship Id="rId86" Type="http://schemas.openxmlformats.org/officeDocument/2006/relationships/hyperlink" Target="https://www.centralbank.ie/news/article/press-release-solving-the-economic-crisis-governor-makhlouf-21-oct-20" TargetMode="External"/><Relationship Id="rId130" Type="http://schemas.openxmlformats.org/officeDocument/2006/relationships/hyperlink" Target="https://eba.europa.eu/sites/default/documents/files/document_library/News%20and%20Press/Press%20Room/Press%20Releases/2020/EBA%20Provides%20further%20guidance%20on%20the%20use%20of%20flexibility%20in%20relation%20to%20COVID-19%20and%20Calls%20for%20heightened%20attention%20to%20risks/882754/EBA%20statement%20on%20additional%20supervisory%20measures%20in%20the%20COVID-19%20pandemic.pdf" TargetMode="External"/><Relationship Id="rId151" Type="http://schemas.openxmlformats.org/officeDocument/2006/relationships/hyperlink" Target="https://eba.europa.eu/banks-report-significant-use-covid-19-moratoria-and-public-guarantees" TargetMode="External"/><Relationship Id="rId172" Type="http://schemas.openxmlformats.org/officeDocument/2006/relationships/hyperlink" Target="https://www.ecb.europa.eu/press/pr/date/2020/html/ecb.pr200526~cbbd04bd5d.en.html" TargetMode="External"/><Relationship Id="rId193" Type="http://schemas.openxmlformats.org/officeDocument/2006/relationships/hyperlink" Target="https://www.ecb.europa.eu/pub/economic-bulletin/articles/2020/html/ecb.ebart202007_02~b27e8089c5.en.html" TargetMode="External"/><Relationship Id="rId207" Type="http://schemas.openxmlformats.org/officeDocument/2006/relationships/hyperlink" Target="https://www.ecb.europa.eu/pub/economic-bulletin/focus/2021/html/ecb.ebbox202008_03~86b986a4f0.en.html" TargetMode="External"/><Relationship Id="rId228" Type="http://schemas.openxmlformats.org/officeDocument/2006/relationships/hyperlink" Target="https://www.bankingsupervision.europa.eu/press/publications/newsletter/2021/html/ssm.nl210519_2.en.html" TargetMode="External"/><Relationship Id="rId249" Type="http://schemas.openxmlformats.org/officeDocument/2006/relationships/hyperlink" Target="https://www.esma.europa.eu/press-news/esma-news/esma-extends-consultations-response-dates" TargetMode="External"/><Relationship Id="rId13" Type="http://schemas.openxmlformats.org/officeDocument/2006/relationships/hyperlink" Target="https://www.centralbank.ie/news/article/statement-by-the-governor-of-the-central-bank-of-ireland-gabriel-makhlouf" TargetMode="External"/><Relationship Id="rId109" Type="http://schemas.openxmlformats.org/officeDocument/2006/relationships/hyperlink" Target="https://www.centralbank.ie/news/article/press-release-economic-letter-covid-19-and-the-public-finances-in-ireland-22-mar-2021" TargetMode="External"/><Relationship Id="rId260" Type="http://schemas.openxmlformats.org/officeDocument/2006/relationships/hyperlink" Target="https://www.esma.europa.eu/press-news/esma-news/joint-rts-amendments-bilateral-margin-requirements-under-emir-in-response-covid" TargetMode="External"/><Relationship Id="rId281" Type="http://schemas.openxmlformats.org/officeDocument/2006/relationships/image" Target="media/image1.jpg"/><Relationship Id="rId34" Type="http://schemas.openxmlformats.org/officeDocument/2006/relationships/hyperlink" Target="https://www.centralbank.ie/news/article/blog--covid-19-and-the-financial-system" TargetMode="External"/><Relationship Id="rId55" Type="http://schemas.openxmlformats.org/officeDocument/2006/relationships/hyperlink" Target="https://centralbank.ie/consumer-hub/covid-19/faq-for-regulated-firms" TargetMode="External"/><Relationship Id="rId76" Type="http://schemas.openxmlformats.org/officeDocument/2006/relationships/hyperlink" Target="https://www.centralbank.ie/docs/default-source/publications/research-technical-papers/07rt20-household-wealth-(horan-lydon-and-mcindoe-calder).pdf?sfvrsn=10" TargetMode="External"/><Relationship Id="rId97" Type="http://schemas.openxmlformats.org/officeDocument/2006/relationships/hyperlink" Target="https://www.centralbank.ie/news/article/statement-regarding-eba-decision-to-reactivate-guidelines-on-payment-moratoria" TargetMode="External"/><Relationship Id="rId120" Type="http://schemas.openxmlformats.org/officeDocument/2006/relationships/hyperlink" Target="https://www.algoodbody.com/insights-publications/covid-19-payments-in-focus" TargetMode="External"/><Relationship Id="rId141" Type="http://schemas.openxmlformats.org/officeDocument/2006/relationships/hyperlink" Target="https://eba.europa.eu/eba-calls-resolution-authorities-consider-impact-covid-19-resolution-strategies-and-resolvability" TargetMode="External"/><Relationship Id="rId7" Type="http://schemas.openxmlformats.org/officeDocument/2006/relationships/footnotes" Target="footnotes.xml"/><Relationship Id="rId162" Type="http://schemas.openxmlformats.org/officeDocument/2006/relationships/hyperlink" Target="https://www.bankingsupervision.europa.eu/press/pr/date/2020/html/ssm.pr200327~d4d8f81a53.en.html" TargetMode="External"/><Relationship Id="rId183" Type="http://schemas.openxmlformats.org/officeDocument/2006/relationships/hyperlink" Target="https://www.ecb.europa.eu/pub/pdf/scpwps/ecb.wp2431~aab2650200.en.pdf?0917c80d5c7578fee1a804dcd4da7a73" TargetMode="External"/><Relationship Id="rId218" Type="http://schemas.openxmlformats.org/officeDocument/2006/relationships/hyperlink" Target="https://www.bankingsupervision.europa.eu/press/publications/newsletter/2021/html/ssm.nl210217.en.html?utm_source=newsletter&amp;utm_medium=email&amp;utm_campaign=basu_newsletter_February_2021&amp;utm_term=article_covid19exposesweakness&amp;utm_content=link" TargetMode="External"/><Relationship Id="rId239" Type="http://schemas.openxmlformats.org/officeDocument/2006/relationships/hyperlink" Target="https://www.esma.europa.eu/sites/default/files/library/esma70-155-9854_opinion_on_amf_emergency_measure_under_the_ssr.pdf" TargetMode="External"/><Relationship Id="rId250" Type="http://schemas.openxmlformats.org/officeDocument/2006/relationships/hyperlink" Target="https://www.esma.europa.eu/press-news/esma-news/esma-issues-guidance-accounting-implications-covid-19" TargetMode="External"/><Relationship Id="rId271" Type="http://schemas.openxmlformats.org/officeDocument/2006/relationships/hyperlink" Target="https://www.esma.europa.eu/press-news/esma-news/esma-proposes-further-postpone-csdr-settlement-discipline" TargetMode="External"/><Relationship Id="rId24" Type="http://schemas.openxmlformats.org/officeDocument/2006/relationships/hyperlink" Target="https://www.centralbank.ie/news/article/transcript-of-governor-gabriel-makhlouf-s-interview-with-ian-guider-markets-editor-business-post" TargetMode="External"/><Relationship Id="rId45" Type="http://schemas.openxmlformats.org/officeDocument/2006/relationships/hyperlink" Target="http://centralbank.ie/docs/default-source/regulation/industry-market-sectors/covid19/dear-ceo-payment-breaks-expectations.pdf" TargetMode="External"/><Relationship Id="rId66" Type="http://schemas.openxmlformats.org/officeDocument/2006/relationships/hyperlink" Target="https://www.algoodbody.com/insights-publications/central-bank-sets-outs-its-expectations-for-insurers-on-covid-19-business-interruption-claims" TargetMode="External"/><Relationship Id="rId87" Type="http://schemas.openxmlformats.org/officeDocument/2006/relationships/hyperlink" Target="https://www.centralbank.ie/news/article/press-release-economic-letters-policy-response-to-covid-19-provides-essential-support-to-western-counties-23-october-2020" TargetMode="External"/><Relationship Id="rId110" Type="http://schemas.openxmlformats.org/officeDocument/2006/relationships/hyperlink" Target="https://www.centralbank.ie/news/article/press-release-we-must-look-beyond-numbers-to-understand-effects-pandemic-sharon-donnery-30-mar-2021" TargetMode="External"/><Relationship Id="rId131" Type="http://schemas.openxmlformats.org/officeDocument/2006/relationships/hyperlink" Target="https://www.algoodbody.com/insights-publications/were-from-the-regulator-and-were-here-to-help-bank-regulatory-responses-to-the-covid-19-crisis" TargetMode="External"/><Relationship Id="rId152" Type="http://schemas.openxmlformats.org/officeDocument/2006/relationships/hyperlink" Target="https://eba.europa.eu/eba-reactivates-its-guidelines-legislative-and-non-legislative-moratoria" TargetMode="External"/><Relationship Id="rId173" Type="http://schemas.openxmlformats.org/officeDocument/2006/relationships/hyperlink" Target="https://www.ecb.europa.eu/press/pr/date/2020/html/ecb.mp200604~a307d3429c.en.html" TargetMode="External"/><Relationship Id="rId194" Type="http://schemas.openxmlformats.org/officeDocument/2006/relationships/hyperlink" Target="https://www.ecb.europa.eu/pub/economic-bulletin/articles/2020/html/ecb.ebart202007_01~ef0a77a516.en.html" TargetMode="External"/><Relationship Id="rId208" Type="http://schemas.openxmlformats.org/officeDocument/2006/relationships/hyperlink" Target="https://www.ecb.europa.eu/pub/economic-bulletin/articles/2021/html/ecb.ebart202008_02~bc749d90e7.en.html" TargetMode="External"/><Relationship Id="rId229" Type="http://schemas.openxmlformats.org/officeDocument/2006/relationships/hyperlink" Target="https://www.bankingsupervision.europa.eu/press/publications/newsletter/2021/html/ssm.nl210519_1.en.html" TargetMode="External"/><Relationship Id="rId240" Type="http://schemas.openxmlformats.org/officeDocument/2006/relationships/hyperlink" Target="https://www.esma.europa.eu/sites/default/files/library/esma70-155-9845_opinion_on_cnmv_emergency_measure_under_the_ssr.pdf" TargetMode="External"/><Relationship Id="rId261" Type="http://schemas.openxmlformats.org/officeDocument/2006/relationships/hyperlink" Target="https://www.esma.europa.eu/press-news/esma-news/esma-issues-new-qa-alternative-performance-measures-in-context-covid-19" TargetMode="External"/><Relationship Id="rId14" Type="http://schemas.openxmlformats.org/officeDocument/2006/relationships/hyperlink" Target="https://www.centralbank.ie/news/article/press-release-statement-central-bank-of-ireland-18-march-2020" TargetMode="External"/><Relationship Id="rId35" Type="http://schemas.openxmlformats.org/officeDocument/2006/relationships/hyperlink" Target="https://www.centralbank.ie/docs/default-source/regulation/industry-market-sectors/credit-unions/communications/sector-stakeholder-dialogues/response-to-ilcu-letter-to-governor-re-covid-19---23-april-20.pdf?sfvrsn=4" TargetMode="External"/><Relationship Id="rId56" Type="http://schemas.openxmlformats.org/officeDocument/2006/relationships/hyperlink" Target="https://centralbank.ie/news/article/blog-managing-the-medium-term-debt-challenge" TargetMode="External"/><Relationship Id="rId77" Type="http://schemas.openxmlformats.org/officeDocument/2006/relationships/hyperlink" Target="https://www.centralbank.ie/news/article/press-release-learning-lessons-global-financial-crisis-pandemic--28-sept-2020" TargetMode="External"/><Relationship Id="rId100" Type="http://schemas.openxmlformats.org/officeDocument/2006/relationships/hyperlink" Target="https://www.centralbank.ie/docs/default-source/publications/economic-letters/the-impact-of-covid-19-on-consumer-spending.pdf" TargetMode="External"/><Relationship Id="rId282" Type="http://schemas.openxmlformats.org/officeDocument/2006/relationships/hyperlink" Target="https://www.algoodbody.com/services-people/financial-regulation" TargetMode="External"/><Relationship Id="rId8" Type="http://schemas.openxmlformats.org/officeDocument/2006/relationships/endnotes" Target="endnotes.xml"/><Relationship Id="rId98" Type="http://schemas.openxmlformats.org/officeDocument/2006/relationships/hyperlink" Target="https://www.centralbank.ie/docs/default-source/regulation/industry-market-sectors/covid19/dear-ceo-payment-breaks-expectations.pdf?sfvrsn=4" TargetMode="External"/><Relationship Id="rId121" Type="http://schemas.openxmlformats.org/officeDocument/2006/relationships/hyperlink" Target="https://eba.europa.eu/sites/default/documents/files/document_library/News%20and%20Press/Press%20Room/Press%20Releases/2020/EBA%20provides%20additional%20clarity%20on%20measures%20to%20mitigate%20the%20impact%20of%20COVID-19%20on%20the%20EU%20banking%20sector/Statement%20on%20supervisory%20reporting%20and%20Pillar%203%20disclosures%20in%20light%20of%20COVID-19.pdf" TargetMode="External"/><Relationship Id="rId142" Type="http://schemas.openxmlformats.org/officeDocument/2006/relationships/hyperlink" Target="https://eba.europa.eu/eba-publishes-overview-public-guarantee-schemes-issued-response-covid-19-pandemic" TargetMode="External"/><Relationship Id="rId163" Type="http://schemas.openxmlformats.org/officeDocument/2006/relationships/hyperlink" Target="https://www.bankingsupervision.europa.eu/press/letterstobanks/shared/pdf/2020/ssm.2020_letter_IFRS_9_in_the_context_of_the_coronavirus_COVID-19_pandemic.en.pdf?b543f9408a8480e04748a3b0185d8cf3" TargetMode="External"/><Relationship Id="rId184" Type="http://schemas.openxmlformats.org/officeDocument/2006/relationships/hyperlink" Target="https://www.ecb.europa.eu/press/pr/date/2020/html/ecb.mp200716~fc5fbe06d9.en.html" TargetMode="External"/><Relationship Id="rId219" Type="http://schemas.openxmlformats.org/officeDocument/2006/relationships/hyperlink" Target="https://www.bankingsupervision.europa.eu/press/publications/newsletter/2021/html/ssm.nl210217_1.en.html?utm_source=newsletter&amp;utm_medium=email&amp;utm_campaign=basu_newsletter_February_2021&amp;utm_term=article_covid-19decisions&amp;utm_content=link" TargetMode="External"/><Relationship Id="rId230" Type="http://schemas.openxmlformats.org/officeDocument/2006/relationships/hyperlink" Target="https://www.bankingsupervision.europa.eu/press/publications/newsletter/2021/html/ssm.nl210519.en.html" TargetMode="External"/><Relationship Id="rId251" Type="http://schemas.openxmlformats.org/officeDocument/2006/relationships/hyperlink" Target="https://www.esma.europa.eu/press-news/esma-news/esma-confirms-application-date-equity-transparency-calculations" TargetMode="External"/><Relationship Id="rId25" Type="http://schemas.openxmlformats.org/officeDocument/2006/relationships/hyperlink" Target="https://www.centralbank.ie/news/article/covid-19-the-irish-economy-in-a-global-context" TargetMode="External"/><Relationship Id="rId46" Type="http://schemas.openxmlformats.org/officeDocument/2006/relationships/hyperlink" Target="http://www.centralbank.ie/docs/default-source/Regulation/industry-market-sectors/credit-unions/communications/circulars/circular-re-covid-19---payment-breaks-in-credit-unions---8-june-2020.pdf" TargetMode="External"/><Relationship Id="rId67" Type="http://schemas.openxmlformats.org/officeDocument/2006/relationships/hyperlink" Target="https://www.centralbank.ie/docs/default-source/consumer-hub-library/covid-19/covid-19---business-interruption-insurance---supervisory-framework.pdf" TargetMode="External"/><Relationship Id="rId272" Type="http://schemas.openxmlformats.org/officeDocument/2006/relationships/hyperlink" Target="https://www.esma.europa.eu/press-news/esma-news/esma-sees-high-risk-decoupling-financial-market-performance-and-underlying" TargetMode="External"/><Relationship Id="rId88" Type="http://schemas.openxmlformats.org/officeDocument/2006/relationships/hyperlink" Target="http://www.centralbank.ie/docs/default-source/publications/economic-letters/vol-2020-no-10-reg-impact-of-covid-19-western-reg-and-atlantic-eco-corridor-lydon-mcgrath.pdf?sfvrsn=6" TargetMode="External"/><Relationship Id="rId111" Type="http://schemas.openxmlformats.org/officeDocument/2006/relationships/hyperlink" Target="https://www.centralbank.ie/docs/default-source/publications/economic-letters/vol-2021-no-4-saving-during-the-pandemic-waiting-out-the-storm-reamonn-lydon-and-tara-mcindoe-calder.pdf?sfvrsn=5" TargetMode="External"/><Relationship Id="rId132" Type="http://schemas.openxmlformats.org/officeDocument/2006/relationships/hyperlink" Target="https://eba.europa.eu/sites/default/documents/files/document_library/Publications/Draft%20Technical%20Standards/2020/RTS/882753/EBA-RTS-2020-04%20Amending%20RTS%20on%20Prudent%20Valuation.pdf" TargetMode="External"/><Relationship Id="rId153" Type="http://schemas.openxmlformats.org/officeDocument/2006/relationships/hyperlink" Target="https://eba.europa.eu/eba-confirms-banks%E2%80%99-solid-capital-and-liquidity-positions-warns-about-asset-quality-prospects-and" TargetMode="External"/><Relationship Id="rId174" Type="http://schemas.openxmlformats.org/officeDocument/2006/relationships/hyperlink" Target="https://www.ecb.europa.eu/press/blog/date/2020/html/ecb.blog200605~0ee256bcc9.en.html" TargetMode="External"/><Relationship Id="rId195" Type="http://schemas.openxmlformats.org/officeDocument/2006/relationships/hyperlink" Target="https://www.ecb.europa.eu/pub/financial-stability/fsr/html/ecb.fsr202011~b7be9ae1f1.en.html" TargetMode="External"/><Relationship Id="rId209" Type="http://schemas.openxmlformats.org/officeDocument/2006/relationships/hyperlink" Target="https://www.ecb.europa.eu/pub/economic-bulletin/articles/2021/html/ecb.ebart202008_03~da0f5f792a.en.html" TargetMode="External"/><Relationship Id="rId220" Type="http://schemas.openxmlformats.org/officeDocument/2006/relationships/hyperlink" Target="https://www.ecb.europa.eu/home/search/coronavirus/html/index.en.html" TargetMode="External"/><Relationship Id="rId241" Type="http://schemas.openxmlformats.org/officeDocument/2006/relationships/hyperlink" Target="https://www.esma.europa.eu/sites/default/files/library/esma70-155-9833_opinion_on_fsma_emergency_measure_under_the_ssr.pdf" TargetMode="External"/><Relationship Id="rId15" Type="http://schemas.openxmlformats.org/officeDocument/2006/relationships/hyperlink" Target="https://www.algoodbody.com/insights-publications/covid-19-central-bank-releases-capital-buffer" TargetMode="External"/><Relationship Id="rId36" Type="http://schemas.openxmlformats.org/officeDocument/2006/relationships/hyperlink" Target="https://www.centralbank.ie/docs/default-source/regulation/industry-market-sectors/funds/industry-communications/industry-letter---measures-related-to-investment-funds-in-light-of-ongoing-market-uncertainty-due-to-covid-19.pdf?sfvrsn=2" TargetMode="External"/><Relationship Id="rId57" Type="http://schemas.openxmlformats.org/officeDocument/2006/relationships/hyperlink" Target="https://centralbank.ie/consumer-hub/covid-19" TargetMode="External"/><Relationship Id="rId262" Type="http://schemas.openxmlformats.org/officeDocument/2006/relationships/hyperlink" Target="https://www.esma.europa.eu/sites/default/files/library/esma32-63-972_public_statement_on_half-yearly_financial_reports_in_relation_to_covid-19.pdf" TargetMode="External"/><Relationship Id="rId283" Type="http://schemas.openxmlformats.org/officeDocument/2006/relationships/hyperlink" Target="https://www.algoodbody.com/services-people/financial-regulation" TargetMode="External"/><Relationship Id="rId78" Type="http://schemas.openxmlformats.org/officeDocument/2006/relationships/hyperlink" Target="https://www.centralbank.ie/statistics/statistical-publications/behind-the-data/understanding-long-term-mortgage-arrears-in-ireland" TargetMode="External"/><Relationship Id="rId99" Type="http://schemas.openxmlformats.org/officeDocument/2006/relationships/hyperlink" Target="https://www.centralbank.ie/news/article/press-release-central-bank-publishes-research-on-consumer-expectations-and-behaviours-and-their-effects-on-economic-outcomes-15-december-2020" TargetMode="External"/><Relationship Id="rId101" Type="http://schemas.openxmlformats.org/officeDocument/2006/relationships/hyperlink" Target="https://www.centralbank.ie/docs/default-source/publications/economic-letters/inflation-expectations-of-euro-area-consumers-and-firms.pdf" TargetMode="External"/><Relationship Id="rId122" Type="http://schemas.openxmlformats.org/officeDocument/2006/relationships/hyperlink" Target="https://eba.europa.eu/eba-provides-additional-clarity-on-measures-mitigate-impact-covid-19-eu-banking-sector" TargetMode="External"/><Relationship Id="rId143" Type="http://schemas.openxmlformats.org/officeDocument/2006/relationships/hyperlink" Target="https://eba.europa.eu/sites/default/documents/files/document_library/Publications/Guidelines/2020/Guidelines%20on%20the%20pragmatic%202020%20SREP/897419/EBA-GL-2020-10%20Guidelines%20on%20the%20pragmatic%202020%20SREP.pdf" TargetMode="External"/><Relationship Id="rId164" Type="http://schemas.openxmlformats.org/officeDocument/2006/relationships/hyperlink" Target="https://www.ecb.europa.eu/press/pr/date/2020/html/ecb.pr200407~2472a8ccda.en.html" TargetMode="External"/><Relationship Id="rId185" Type="http://schemas.openxmlformats.org/officeDocument/2006/relationships/hyperlink" Target="https://www.ecb.europa.eu/press/pr/date/2020/html/ecb.pr200717~3b203708e1.en.html" TargetMode="External"/><Relationship Id="rId9" Type="http://schemas.openxmlformats.org/officeDocument/2006/relationships/hyperlink" Target="https://www.algoodbody.com/covid-19-coronavirus-hub" TargetMode="External"/><Relationship Id="rId210" Type="http://schemas.openxmlformats.org/officeDocument/2006/relationships/hyperlink" Target="https://www.ecb.europa.eu/pub/economic-bulletin/focus/2021/html/ecb.ebbox202008_07~e846adc8b2.en.html" TargetMode="External"/><Relationship Id="rId26" Type="http://schemas.openxmlformats.org/officeDocument/2006/relationships/hyperlink" Target="https://www.centralbank.ie/news/article/speech-macroeconomic-effects-sharon-donnery-17-april-20" TargetMode="External"/><Relationship Id="rId231" Type="http://schemas.openxmlformats.org/officeDocument/2006/relationships/hyperlink" Target="https://www.bankingsupervision.europa.eu/press/speeches/date/2021/html/ssm.sp210519~84ac171a65.en.pdf" TargetMode="External"/><Relationship Id="rId252" Type="http://schemas.openxmlformats.org/officeDocument/2006/relationships/hyperlink" Target="https://www.esma.europa.eu/press-news/esma-news/esma-issues-guidance-financial-reporting-deadlines-in-light-covid-19" TargetMode="External"/><Relationship Id="rId273" Type="http://schemas.openxmlformats.org/officeDocument/2006/relationships/hyperlink" Target="https://www.esma.europa.eu/press-news/esma-news/european-accounting-enforcers-enhance-transparency-covid-19-impact" TargetMode="External"/><Relationship Id="rId47" Type="http://schemas.openxmlformats.org/officeDocument/2006/relationships/hyperlink" Target="https://www.centralbank.ie/news/article/blog-economic-outlook-and-monetary-policy" TargetMode="External"/><Relationship Id="rId68" Type="http://schemas.openxmlformats.org/officeDocument/2006/relationships/hyperlink" Target="https://www.centralbank.ie/consumer-hub/covid-19/faq-for-regulated-firms" TargetMode="External"/><Relationship Id="rId89" Type="http://schemas.openxmlformats.org/officeDocument/2006/relationships/hyperlink" Target="http://www.centralbank.ie/docs/default-source/publications/economic-letters/vol-2020-no.11-wage-subsidies-and-job-retention-keenan-and-lydon.pdf?sfvrsn=5" TargetMode="External"/><Relationship Id="rId112" Type="http://schemas.openxmlformats.org/officeDocument/2006/relationships/hyperlink" Target="https://www.centralbank.ie/news/article/speech-Derville-Rowland-Irish-Funds-Conference-19-May-2021" TargetMode="External"/><Relationship Id="rId133" Type="http://schemas.openxmlformats.org/officeDocument/2006/relationships/hyperlink" Target="https://eba.europa.eu/sites/default/documents/files/document_library/Publications/Draft%20Technical%20Standards/2020/RTS/883267/Joint%20RTS%20on%20amendments%20to%20the%20bilateral%20margin%20requirements%20under%20EMIR%20in%20response%20to%20the%20COVID-19%20outbreak.pdf" TargetMode="External"/><Relationship Id="rId154" Type="http://schemas.openxmlformats.org/officeDocument/2006/relationships/hyperlink" Target="https://eba.europa.eu/eba-continues-call-banks-apply-conservative-approach-dividends-and-other-distributions-light-covid" TargetMode="External"/><Relationship Id="rId175" Type="http://schemas.openxmlformats.org/officeDocument/2006/relationships/hyperlink" Target="https://www.bankingsupervision.europa.eu/ecb/pub/pdf/ssm.mepletter200609_Zanni_Donato_Grant_Rinaldi~b62937a4d7.en.pdf?cf307005abfc6a47b2eaf1f2ae02f35a" TargetMode="External"/><Relationship Id="rId196" Type="http://schemas.openxmlformats.org/officeDocument/2006/relationships/hyperlink" Target="https://www.bankingsupervision.europa.eu/press/letterstobanks/shared/pdf/2020/ssm.2020_letter_credit_risk_identification_measurement~734f2a0b84.en.pdf?c839e6212e8a9bf18dc0d26ab0b1cd7f" TargetMode="External"/><Relationship Id="rId200" Type="http://schemas.openxmlformats.org/officeDocument/2006/relationships/hyperlink" Target="https://www.ecb.europa.eu/press/pr/date/2020/html/ecb.pr201210~8acfa5026f.en.html" TargetMode="External"/><Relationship Id="rId16" Type="http://schemas.openxmlformats.org/officeDocument/2006/relationships/hyperlink" Target="https://www.centralbank.ie/news/article/press-release-focused-on-protecting-consumers-and-supporting-individuals-19-march-2020" TargetMode="External"/><Relationship Id="rId221" Type="http://schemas.openxmlformats.org/officeDocument/2006/relationships/hyperlink" Target="https://www.ecb.europa.eu/press/key/date/2021/html/ecb.sp210301_1~ab924b7e65.en.html" TargetMode="External"/><Relationship Id="rId242" Type="http://schemas.openxmlformats.org/officeDocument/2006/relationships/hyperlink" Target="https://www.esma.europa.eu/sites/default/files/library/esma70-155-9587_opinion_on_hcmc_emergency_measure_under_the_ssr.pdf" TargetMode="External"/><Relationship Id="rId263" Type="http://schemas.openxmlformats.org/officeDocument/2006/relationships/hyperlink" Target="https://www.esma.europa.eu/press-news/esma-news/esma-extends-deadline-responses-consultation-emir-refit" TargetMode="External"/><Relationship Id="rId284" Type="http://schemas.openxmlformats.org/officeDocument/2006/relationships/header" Target="header1.xml"/><Relationship Id="rId37" Type="http://schemas.openxmlformats.org/officeDocument/2006/relationships/hyperlink" Target="https://www.algoodbody.com/insights-publications/asset-management-investment-funds-irish-practice-developments-apr-2020" TargetMode="External"/><Relationship Id="rId58" Type="http://schemas.openxmlformats.org/officeDocument/2006/relationships/hyperlink" Target="https://www.centralbank.ie/news/article/speech-introductory-statement-committee-covid-19-7-jul-20" TargetMode="External"/><Relationship Id="rId79" Type="http://schemas.openxmlformats.org/officeDocument/2006/relationships/hyperlink" Target="https://www.centralbank.ie/news/article/central-bank-expects-lenders-to-engage-constructively-with-borrowers-who-are-experiencing-financial-difficulty-as-a-result-of-covid-19-director-general-derville-rowland-30-september-2020" TargetMode="External"/><Relationship Id="rId102" Type="http://schemas.openxmlformats.org/officeDocument/2006/relationships/hyperlink" Target="https://www.centralbank.ie/news/article/press-release-report-on-retail-market-conduct-issues-from-covid-19-23-december-2020" TargetMode="External"/><Relationship Id="rId123" Type="http://schemas.openxmlformats.org/officeDocument/2006/relationships/hyperlink" Target="https://eba.europa.eu/sites/default/documents/files/document_library/News%20and%20Press/Press%20Room/Press%20Releases/2020/EBA%20provides%20additional%20clarity%20on%20measures%20to%20mitigate%20the%20impact%20of%20COVID-19%20on%20the%20EU%20banking%20sector/Statement%20on%20dividends%20distribution%2C%20share%20buybacks%20and%20variable%20remuneration.pdf" TargetMode="External"/><Relationship Id="rId144" Type="http://schemas.openxmlformats.org/officeDocument/2006/relationships/hyperlink" Target="https://eba.europa.eu/eba-sees-first-impact-covid-19-materialising-eu-banks%E2%80%99-q1-data" TargetMode="External"/><Relationship Id="rId90" Type="http://schemas.openxmlformats.org/officeDocument/2006/relationships/hyperlink" Target="https://www.centralbank.ie/regulation/covid19-flexibility-measures/credit-institutions" TargetMode="External"/><Relationship Id="rId165" Type="http://schemas.openxmlformats.org/officeDocument/2006/relationships/hyperlink" Target="https://www.ecb.europa.eu/pub/financial-stability/macroprudential-measures/html/index.en.html" TargetMode="External"/><Relationship Id="rId186" Type="http://schemas.openxmlformats.org/officeDocument/2006/relationships/hyperlink" Target="https://www.bankingsupervision.europa.eu/press/pr/date/2020/html/ssm.pr200728_1~42a74a0b86.en.html" TargetMode="External"/><Relationship Id="rId211" Type="http://schemas.openxmlformats.org/officeDocument/2006/relationships/hyperlink" Target="https://www.ecb.europa.eu/pub/economic-bulletin/focus/2021/html/ecb.ebbox202008_01~e038be4510.en.html" TargetMode="External"/><Relationship Id="rId232" Type="http://schemas.openxmlformats.org/officeDocument/2006/relationships/hyperlink" Target="https://www.bankingsupervision.europa.eu/press/pr/date/2021/html/ssm.pr210618~6cae096a27.en.html" TargetMode="External"/><Relationship Id="rId253" Type="http://schemas.openxmlformats.org/officeDocument/2006/relationships/hyperlink" Target="https://www.esma.europa.eu/press-news/esma-news/esma-provides-clarifications-best-execution-reports-under-mifid-ii" TargetMode="External"/><Relationship Id="rId274" Type="http://schemas.openxmlformats.org/officeDocument/2006/relationships/hyperlink" Target="https://www.esma.europa.eu/sites/default/files/library/esma32-63-1041_public_statement_on_the_european_common_enforcement_priorities_2020.pdf" TargetMode="External"/><Relationship Id="rId27" Type="http://schemas.openxmlformats.org/officeDocument/2006/relationships/hyperlink" Target="https://www.centralbank.ie/regulation/industry-market-sectors/covid19-flexibility-measures/other" TargetMode="External"/><Relationship Id="rId48" Type="http://schemas.openxmlformats.org/officeDocument/2006/relationships/hyperlink" Target="https://www.centralbank.ie/news/article/press-release-financial-stability-review-1-of-2020-covid-16-june-2020" TargetMode="External"/><Relationship Id="rId69" Type="http://schemas.openxmlformats.org/officeDocument/2006/relationships/hyperlink" Target="https://www.centralbank.ie/docs/default-source/consumer-hub-library/covid-19/statement-electronic-signatures-and-regulatory-documents.pdf?sfvrsn=4" TargetMode="External"/><Relationship Id="rId113" Type="http://schemas.openxmlformats.org/officeDocument/2006/relationships/hyperlink" Target="https://www.centralbank.ie/news/article/press-release-conditions-have-improved-but-recovery-may-be-bumpy-and-uneven-16-june-2021" TargetMode="External"/><Relationship Id="rId134" Type="http://schemas.openxmlformats.org/officeDocument/2006/relationships/hyperlink" Target="https://eba.europa.eu/covid-19-placing-unprecedented-challenges-eu-banks" TargetMode="External"/><Relationship Id="rId80" Type="http://schemas.openxmlformats.org/officeDocument/2006/relationships/hyperlink" Target="https://www.centralbank.ie/news/article/press-release-impact-of-covid-19-on-irish-enterprises-sudden-large-and-uneven-01-october-2020" TargetMode="External"/><Relationship Id="rId155" Type="http://schemas.openxmlformats.org/officeDocument/2006/relationships/hyperlink" Target="https://eba.europa.eu/eba-welcomes-european-commission%E2%80%99s-action-plan-tackle-npls-aftermath-covid-19-pandemic" TargetMode="External"/><Relationship Id="rId176" Type="http://schemas.openxmlformats.org/officeDocument/2006/relationships/hyperlink" Target="https://www.bankingsupervision.europa.eu/ecb/pub/pdf/ssm.mepletter200610_Urtasan~4b9f49cd22.en.pdf?3c62ba685679300e59bfff7e0c9ca27f" TargetMode="External"/><Relationship Id="rId197" Type="http://schemas.openxmlformats.org/officeDocument/2006/relationships/hyperlink" Target="https://www.bankingsupervision.europa.eu/ecb/pub/pdf/ssm.mepletter201204_Garicano~b71f596ab9.en.pdf?78defb29668cde14604e452ae5f35a7c" TargetMode="External"/><Relationship Id="rId201" Type="http://schemas.openxmlformats.org/officeDocument/2006/relationships/hyperlink" Target="https://www.ecb.europa.eu/press/pr/date/2020/html/ecb.mp201210~8c2778b843.en.html" TargetMode="External"/><Relationship Id="rId222" Type="http://schemas.openxmlformats.org/officeDocument/2006/relationships/hyperlink" Target="https://www.ecb.europa.eu/press/key/date/2021/html/ecb.sp210301~207a2ecf7e.en.html" TargetMode="External"/><Relationship Id="rId243" Type="http://schemas.openxmlformats.org/officeDocument/2006/relationships/hyperlink" Target="https://www.esma.europa.eu/press-news/esma-news/esma-%E2%80%93-non-renewal-and-termination-short-selling-bans-austrian-fma-belgian-fsma" TargetMode="External"/><Relationship Id="rId264" Type="http://schemas.openxmlformats.org/officeDocument/2006/relationships/hyperlink" Target="https://www.esma.europa.eu/sites/default/files/library/esma71-99-1342_decision_ss_reporting_renewal_statement.pdf" TargetMode="External"/><Relationship Id="rId285" Type="http://schemas.openxmlformats.org/officeDocument/2006/relationships/header" Target="header2.xml"/><Relationship Id="rId17" Type="http://schemas.openxmlformats.org/officeDocument/2006/relationships/hyperlink" Target="https://www.algoodbody.com/insights-publications/covid-19-range-of-banking-measures-announced-due-to-the-pandemic" TargetMode="External"/><Relationship Id="rId38" Type="http://schemas.openxmlformats.org/officeDocument/2006/relationships/hyperlink" Target="https://www.centralbank.ie/news/article/statement-central-bank-notes-lenders-plans-to-extend-availability-of-covid-19-payment-breaks" TargetMode="External"/><Relationship Id="rId59" Type="http://schemas.openxmlformats.org/officeDocument/2006/relationships/hyperlink" Target="https://www.centralbank.ie/news/article/blog-public-policies-to-support-firms-through-covid-19" TargetMode="External"/><Relationship Id="rId103" Type="http://schemas.openxmlformats.org/officeDocument/2006/relationships/hyperlink" Target="https://www.centralbank.ie/news/article/press-release-regulated-firms-need-to-help-economy-recover-makhlouf-25-january-2021" TargetMode="External"/><Relationship Id="rId124" Type="http://schemas.openxmlformats.org/officeDocument/2006/relationships/hyperlink" Target="https://eba.europa.eu/sites/default/documents/files/document_library/News%20and%20Press/Press%20Room/Press%20Releases/2020/EBA%20provides%20additional%20clarity%20on%20measures%20to%20mitigate%20the%20impact%20of%20COVID-19%20on%20the%20EU%20banking%20sector/Statement%20on%20actions%20to%20mitigate%20financial%20crime%20risks%20in%20the%20COVID-19%20pandemic.pdf" TargetMode="External"/><Relationship Id="rId70" Type="http://schemas.openxmlformats.org/officeDocument/2006/relationships/hyperlink" Target="http://www.centralbank.ie/docs/default-source/news-and-media/speeches/200910-dg-donnery-dew.pdf?sfvrsn=2" TargetMode="External"/><Relationship Id="rId91" Type="http://schemas.openxmlformats.org/officeDocument/2006/relationships/hyperlink" Target="https://www.centralbank.ie/regulation/covid19-flexibility-measures/insurance-reinsurance" TargetMode="External"/><Relationship Id="rId145" Type="http://schemas.openxmlformats.org/officeDocument/2006/relationships/hyperlink" Target="https://eba.europa.eu/eba-provides-clarity-implementation-reporting-and-disclosure-framework-context-covid-19-measures" TargetMode="External"/><Relationship Id="rId166" Type="http://schemas.openxmlformats.org/officeDocument/2006/relationships/hyperlink" Target="https://www.bankingsupervision.europa.eu/press/pr/date/2020/html/ssm.pr200416~ecf270bca8.en.html?utm_source=POLITICO.EU&amp;utm_campaign=2a2b2ea994-EMAIL_CAMPAIGN_2020_04_16_05_05&amp;utm_medium=email&amp;utm_term=0_10959edeb5-2a2b2ea994-189899445" TargetMode="External"/><Relationship Id="rId187" Type="http://schemas.openxmlformats.org/officeDocument/2006/relationships/hyperlink" Target="https://www.bankingsupervision.europa.eu/ecb/pub/pdf/ssm_2020_35_f_sign~ab7166596a.en.pdf" TargetMode="External"/><Relationship Id="rId1" Type="http://schemas.openxmlformats.org/officeDocument/2006/relationships/customXml" Target="../customXml/item1.xml"/><Relationship Id="rId212" Type="http://schemas.openxmlformats.org/officeDocument/2006/relationships/hyperlink" Target="https://www.ecb.europa.eu/pub/economic-bulletin/focus/2021/html/ecb.ebbox202008_02~b77fcb601e.en.html" TargetMode="External"/><Relationship Id="rId233" Type="http://schemas.openxmlformats.org/officeDocument/2006/relationships/hyperlink" Target="https://www.bankingsupervision.europa.eu/press/publications/html/ssm.faq_ECB_supervisory_measures_in_reaction_to_the_coronavirus~8a631697a4.en.html" TargetMode="External"/><Relationship Id="rId254" Type="http://schemas.openxmlformats.org/officeDocument/2006/relationships/hyperlink" Target="https://www.esma.europa.eu/press-news/esma-news/esma-updates-its-risk-assessment-in-light-covid-19-pandemic" TargetMode="External"/><Relationship Id="rId28" Type="http://schemas.openxmlformats.org/officeDocument/2006/relationships/hyperlink" Target="https://www.algoodbody.com/insights-publications/covid-19-cbi-announces-more-flexibility-measures-in-response-to-the-pandemic" TargetMode="External"/><Relationship Id="rId49" Type="http://schemas.openxmlformats.org/officeDocument/2006/relationships/hyperlink" Target="http://www.centralbank.ie/news/article/speeche-risks-resilience-and-policy-responses-to-covid-19-sharon-donnery-17-jun-20" TargetMode="External"/><Relationship Id="rId114" Type="http://schemas.openxmlformats.org/officeDocument/2006/relationships/hyperlink" Target="https://www.centralbank.ie/news/article/press-release-action-needed-by-lenders-to-resolve-long-term-mortgage-arrears-ed-sibley-13-july-2021" TargetMode="External"/><Relationship Id="rId275" Type="http://schemas.openxmlformats.org/officeDocument/2006/relationships/hyperlink" Target="https://www.esma.europa.eu/node/90557" TargetMode="External"/><Relationship Id="rId60" Type="http://schemas.openxmlformats.org/officeDocument/2006/relationships/hyperlink" Target="https://www.centralbank.ie/news/article/press-release-sme-market-report-2020-covid19-21-july-2020" TargetMode="External"/><Relationship Id="rId81" Type="http://schemas.openxmlformats.org/officeDocument/2006/relationships/hyperlink" Target="https://www.centralbank.ie/docs/default-source/publications/financial-stability-notes/no-8-sme-finances-the-pandemic-and-the-design-of-enterprise-support-policies-(lambert-mccann-mcquinn-myers-and-yao).pdf?sfvrsn=4" TargetMode="External"/><Relationship Id="rId135" Type="http://schemas.openxmlformats.org/officeDocument/2006/relationships/hyperlink" Target="https://eba.europa.eu/eba-issues-guidelines-address-gaps-reporting-data-and-public-information-context-covid-19" TargetMode="External"/><Relationship Id="rId156" Type="http://schemas.openxmlformats.org/officeDocument/2006/relationships/hyperlink" Target="https://eba.europa.eu/eba-provides-additional-clarity-implementation-selected-covid-19-policies" TargetMode="External"/><Relationship Id="rId177" Type="http://schemas.openxmlformats.org/officeDocument/2006/relationships/hyperlink" Target="https://www.ecb.europa.eu/pub/economic-bulletin/focus/2020/html/ecb.ebbox202004_03~45b9442bb3.en.html" TargetMode="External"/><Relationship Id="rId198" Type="http://schemas.openxmlformats.org/officeDocument/2006/relationships/hyperlink" Target="https://www.bankingsupervision.europa.eu/ecb/pub/pdf/ssm.mepletter201204_Zanni_Donato_Grant_Rinaldi~37e7a4bd25.en.pdf?10a3f84d59483c0c4f5fda01df41a5cd" TargetMode="External"/><Relationship Id="rId202" Type="http://schemas.openxmlformats.org/officeDocument/2006/relationships/hyperlink" Target="https://www.bankingsupervision.europa.eu/press/publications/html/ssm.faq_ECB_supervisory_measures_in_reaction_to_the_coronavirus~8a631697a4.en.html" TargetMode="External"/><Relationship Id="rId223" Type="http://schemas.openxmlformats.org/officeDocument/2006/relationships/hyperlink" Target="https://www.ecb.europa.eu/pub/pubbydate/html/index.en.html" TargetMode="External"/><Relationship Id="rId244" Type="http://schemas.openxmlformats.org/officeDocument/2006/relationships/hyperlink" Target="https://www.esma.europa.eu/press-news/esma-news/esma-clarifies-position-sftr-backloading" TargetMode="External"/><Relationship Id="rId18" Type="http://schemas.openxmlformats.org/officeDocument/2006/relationships/hyperlink" Target="https://www.centralbank.ie/news/article/press-release-opinion-governor-makhlouf-sunday-independent-22-march-2020" TargetMode="External"/><Relationship Id="rId39" Type="http://schemas.openxmlformats.org/officeDocument/2006/relationships/hyperlink" Target="https://www.centralbank.ie/news/article/blog-covid19-crisis-and-the-monetary-policy-response" TargetMode="External"/><Relationship Id="rId265" Type="http://schemas.openxmlformats.org/officeDocument/2006/relationships/hyperlink" Target="https://www.esma.europa.eu/press-news/esma-news/esma-publishes-statement-mifir-open-access-and-covid-19" TargetMode="External"/><Relationship Id="rId286" Type="http://schemas.openxmlformats.org/officeDocument/2006/relationships/fontTable" Target="fontTable.xml"/><Relationship Id="rId50" Type="http://schemas.openxmlformats.org/officeDocument/2006/relationships/hyperlink" Target="https://www.centralbank.ie/news/article/blog-covid-19-the-impact-on-firms-and-households" TargetMode="External"/><Relationship Id="rId104" Type="http://schemas.openxmlformats.org/officeDocument/2006/relationships/hyperlink" Target="https://service.betterregulation.com/document/435343" TargetMode="External"/><Relationship Id="rId125" Type="http://schemas.openxmlformats.org/officeDocument/2006/relationships/hyperlink" Target="https://eba.europa.eu/eba-publishes-guidelines-treatment-public-and-private-moratoria-light-covid-19-measures" TargetMode="External"/><Relationship Id="rId146" Type="http://schemas.openxmlformats.org/officeDocument/2006/relationships/hyperlink" Target="https://eba.europa.eu/sites/default/documents/files/document_library/Publications/Reports/2020/888311/Report%20on%20implementation%20of%20selected%20COVID-19%20policies%20.pdf" TargetMode="External"/><Relationship Id="rId167" Type="http://schemas.openxmlformats.org/officeDocument/2006/relationships/hyperlink" Target="https://www.ecb.europa.eu/press/pr/date/2020/html/ecb.pr200422_1~95e0f62a2b.en.html" TargetMode="External"/><Relationship Id="rId188" Type="http://schemas.openxmlformats.org/officeDocument/2006/relationships/hyperlink" Target="https://www.bankingsupervision.europa.eu/press/letterstobanks/shared/pdf/2020/ssm.2020_letter_remuneration_policies_in_the_context_of_the_coronavirus_COVID_19_pandemic.en.pdf" TargetMode="External"/><Relationship Id="rId71" Type="http://schemas.openxmlformats.org/officeDocument/2006/relationships/hyperlink" Target="https://www.centralbank.ie/consumer-hub/covid-19/faq-for-consumers" TargetMode="External"/><Relationship Id="rId92" Type="http://schemas.openxmlformats.org/officeDocument/2006/relationships/hyperlink" Target="https://www.centralbank.ie/regulation/covid19-flexibility-measures/other" TargetMode="External"/><Relationship Id="rId213" Type="http://schemas.openxmlformats.org/officeDocument/2006/relationships/hyperlink" Target="https://www.ecb.europa.eu/pub/economic-bulletin/focus/2021/html/ecb.ebbox202008_04~2795809239.en.html" TargetMode="External"/><Relationship Id="rId234" Type="http://schemas.openxmlformats.org/officeDocument/2006/relationships/hyperlink" Target="https://www.esma.europa.eu/press-news/esma-news/esma-recommends-action-financial-market-participants-covid-19-impact" TargetMode="External"/><Relationship Id="rId2" Type="http://schemas.openxmlformats.org/officeDocument/2006/relationships/customXml" Target="../customXml/item2.xml"/><Relationship Id="rId29" Type="http://schemas.openxmlformats.org/officeDocument/2006/relationships/hyperlink" Target="https://www.centralbank.ie/docs/default-source/regulation/industry-market-sectors/credit-unions/reporting-requirements/covid19-circular-regulatory-flexibility-rcu.pdf?sfvrsn=4" TargetMode="External"/><Relationship Id="rId255" Type="http://schemas.openxmlformats.org/officeDocument/2006/relationships/hyperlink" Target="https://www.esma.europa.eu/press-news/esma-news/esma-sets-out-supervisory-expectations-publication-investment-funds-periodic" TargetMode="External"/><Relationship Id="rId276" Type="http://schemas.openxmlformats.org/officeDocument/2006/relationships/hyperlink" Target="https://www.esma.europa.eu/node/90557" TargetMode="External"/><Relationship Id="rId40" Type="http://schemas.openxmlformats.org/officeDocument/2006/relationships/hyperlink" Target="https://www.centralbank.ie/news/article/blog-covid-19-and-developments-in-credit" TargetMode="External"/><Relationship Id="rId115" Type="http://schemas.openxmlformats.org/officeDocument/2006/relationships/hyperlink" Target="https://www.centralbank.ie/regulation/covid19-flexibility-measures/credit-institutions" TargetMode="External"/><Relationship Id="rId136" Type="http://schemas.openxmlformats.org/officeDocument/2006/relationships/hyperlink" Target="https://eba.europa.eu/eba-releases-bank-bank-data-start-covid-19-crisis" TargetMode="External"/><Relationship Id="rId157" Type="http://schemas.openxmlformats.org/officeDocument/2006/relationships/hyperlink" Target="https://www.eba.europa.eu/eba-points-further-rise-capital-and-leverage-ratios-whereas-profitability-remains-strongly-subdued" TargetMode="External"/><Relationship Id="rId178" Type="http://schemas.openxmlformats.org/officeDocument/2006/relationships/hyperlink" Target="https://www.ecb.europa.eu/pub/economic-bulletin/focus/2020/html/ecb.ebbox202004_06~6b0e718192.en.html" TargetMode="External"/><Relationship Id="rId61" Type="http://schemas.openxmlformats.org/officeDocument/2006/relationships/hyperlink" Target="https://centralbank.ie/publication/sme-market-reports" TargetMode="External"/><Relationship Id="rId82" Type="http://schemas.openxmlformats.org/officeDocument/2006/relationships/hyperlink" Target="https://www.centralbank.ie/news/article/press-release-gradual-economic-recovery-forecast-subject-to-covid-19-and-brexit-risks-06-october-2020" TargetMode="External"/><Relationship Id="rId199" Type="http://schemas.openxmlformats.org/officeDocument/2006/relationships/hyperlink" Target="https://www.ecb.europa.eu/press/pr/date/2020/html/ecb.pr201210_1~e8e95af01c.en.html" TargetMode="External"/><Relationship Id="rId203" Type="http://schemas.openxmlformats.org/officeDocument/2006/relationships/hyperlink" Target="https://www.bankingsupervision.europa.eu/press/letterstobanks/shared/pdf/2020/ssm.201215_letter_remuneration_policies_in_the_context_of_the_coronavirus_COVID_19_pandemic.en.pdf?faa7519bf2c3bd5ee71d15a0f4fffb39" TargetMode="External"/><Relationship Id="rId19" Type="http://schemas.openxmlformats.org/officeDocument/2006/relationships/hyperlink" Target="https://www.centralbank.ie/news/article/press-release-statement-essential-services-covid-19-31-march-2020" TargetMode="External"/><Relationship Id="rId224" Type="http://schemas.openxmlformats.org/officeDocument/2006/relationships/hyperlink" Target="https://www.ecb.europa.eu/pub/economic-bulletin/focus/2021/html/ecb.ebbox202102_07~7050ed41dd.en.html" TargetMode="External"/><Relationship Id="rId245" Type="http://schemas.openxmlformats.org/officeDocument/2006/relationships/hyperlink" Target="https://www.esma.europa.eu/press-news/esma-news/esma-issues-guidance-financial-reporting-deadlines-in-light-covid-19" TargetMode="External"/><Relationship Id="rId266" Type="http://schemas.openxmlformats.org/officeDocument/2006/relationships/hyperlink" Target="https://www.esma.europa.eu/file/55901/download?token=n8MFqr9B" TargetMode="External"/><Relationship Id="rId287" Type="http://schemas.openxmlformats.org/officeDocument/2006/relationships/theme" Target="theme/theme1.xml"/><Relationship Id="rId30" Type="http://schemas.openxmlformats.org/officeDocument/2006/relationships/hyperlink" Target="https://www.centralbank.ie/docs/default-source/regulation/industry-market-sectors/insurance-reinsurance/solvency-ii/requirements-and-guidance/covid19-supervisory-flexibility-regarding-reporting-deadlines.pdf?sfvrsn=4" TargetMode="External"/><Relationship Id="rId105" Type="http://schemas.openxmlformats.org/officeDocument/2006/relationships/hyperlink" Target="https://www.centralbank.ie/news/article/press-release-covid-19-shows-that-we-need-to-think-afresh-about-how-we-govern-and-manage-risk-deputy-governor-ed-sibley-17-february-2021" TargetMode="External"/><Relationship Id="rId126" Type="http://schemas.openxmlformats.org/officeDocument/2006/relationships/hyperlink" Target="https://www.algoodbody.com/insights-publications/were-from-the-regulator-and-were-here-to-help-bank-regulatory-responses-to-the-covid-19-crisis" TargetMode="External"/><Relationship Id="rId147" Type="http://schemas.openxmlformats.org/officeDocument/2006/relationships/hyperlink" Target="https://eba.europa.eu/eba-publishes-guidance-impact-crr-adjustments-response-covid%E2%80%9019-pandemic-supervisory-reporting-and" TargetMode="External"/><Relationship Id="rId168" Type="http://schemas.openxmlformats.org/officeDocument/2006/relationships/hyperlink" Target="https://www.ecb.europa.eu/press/pr/date/2020/html/ecb.pr200430~fa46f38486.en.html" TargetMode="External"/><Relationship Id="rId51" Type="http://schemas.openxmlformats.org/officeDocument/2006/relationships/hyperlink" Target="https://www.centralbank.ie/consumer-hub/covid-19/faq-for-consumers" TargetMode="External"/><Relationship Id="rId72" Type="http://schemas.openxmlformats.org/officeDocument/2006/relationships/hyperlink" Target="https://www.centralbank.ie/news/article/press-release-post-covid-19-world-governor-makhlouf-14-sep-2020" TargetMode="External"/><Relationship Id="rId93" Type="http://schemas.openxmlformats.org/officeDocument/2006/relationships/hyperlink" Target="https://www.centralbank.ie/consumer-hub/covid-19/faq-for-consumers" TargetMode="External"/><Relationship Id="rId189" Type="http://schemas.openxmlformats.org/officeDocument/2006/relationships/hyperlink" Target="https://www.ecb.europa.eu/press/pr/date/2020/html/ecb.pr200821~0b5232b195.en.html" TargetMode="External"/><Relationship Id="rId3" Type="http://schemas.openxmlformats.org/officeDocument/2006/relationships/numbering" Target="numbering.xml"/><Relationship Id="rId214" Type="http://schemas.openxmlformats.org/officeDocument/2006/relationships/hyperlink" Target="https://www.ecb.europa.eu/pub/economic-bulletin/html/eb202008.en.html" TargetMode="External"/><Relationship Id="rId235" Type="http://schemas.openxmlformats.org/officeDocument/2006/relationships/hyperlink" Target="https://www.esma.europa.eu/sites/default/files/library/esma71-99-1291_pr_ssr_measure_march_2020.pdf" TargetMode="External"/><Relationship Id="rId256" Type="http://schemas.openxmlformats.org/officeDocument/2006/relationships/hyperlink" Target="https://www.esma.europa.eu/press-news/esma-news/esma-promotes-coordinated-action-regarding-benchmarks-external-audit" TargetMode="External"/><Relationship Id="rId277" Type="http://schemas.openxmlformats.org/officeDocument/2006/relationships/hyperlink" Target="https://www.esma.europa.eu/node/90557" TargetMode="External"/><Relationship Id="rId116" Type="http://schemas.openxmlformats.org/officeDocument/2006/relationships/hyperlink" Target="https://eba.europa.eu/eba-statement-actions-mitigate-impact-covid-19-eu-banking-sector" TargetMode="External"/><Relationship Id="rId137" Type="http://schemas.openxmlformats.org/officeDocument/2006/relationships/hyperlink" Target="https://eba.europa.eu/eba-extends-deadline-application-its-guidelines-payment-moratoria-30-september" TargetMode="External"/><Relationship Id="rId158" Type="http://schemas.openxmlformats.org/officeDocument/2006/relationships/hyperlink" Target="https://www.eba.europa.eu/eba-provides-additional-clarity-implementation-selected-covid-19-policies-0" TargetMode="External"/><Relationship Id="rId20" Type="http://schemas.openxmlformats.org/officeDocument/2006/relationships/hyperlink" Target="https://www.algoodbody.com/insights-publications/covid-19-central-bank-statement-on-essential-services" TargetMode="External"/><Relationship Id="rId41" Type="http://schemas.openxmlformats.org/officeDocument/2006/relationships/hyperlink" Target="https://www.centralbank.ie/regulation/markets-update/article/markets-update-issue-5-2020/central-bank-of-ireland/central-bank-confirms-application-of-measures-outlined-in-various-statements-made-by-esas-in-recent-weeks-in-relation-to-regulatory-flexibility" TargetMode="External"/><Relationship Id="rId62" Type="http://schemas.openxmlformats.org/officeDocument/2006/relationships/hyperlink" Target="https://www.centralbank.ie/news/article/blog-whats-happened-to-consumption" TargetMode="External"/><Relationship Id="rId83" Type="http://schemas.openxmlformats.org/officeDocument/2006/relationships/hyperlink" Target="https://www.centralbank.ie/docs/default-source/publications/quarterly-bulletins/qb-archive/2020/quarterly-bulletin---q4-2020.pdf" TargetMode="External"/><Relationship Id="rId179" Type="http://schemas.openxmlformats.org/officeDocument/2006/relationships/hyperlink" Target="https://www.ecb.europa.eu/pub/economic-bulletin/focus/2020/html/ecb.ebbox202004_01~d1a38decec.en.html" TargetMode="External"/><Relationship Id="rId190" Type="http://schemas.openxmlformats.org/officeDocument/2006/relationships/hyperlink" Target="https://www.ecb.europa.eu/press/pr/date/2020/html/ecb.pr200827~fc0ef2fcb0.en.html" TargetMode="External"/><Relationship Id="rId204" Type="http://schemas.openxmlformats.org/officeDocument/2006/relationships/hyperlink" Target="https://www.bankingsupervision.europa.eu/press/pr/date/2020/html/ssm.pr201215~4742ea7c8a.en.html" TargetMode="External"/><Relationship Id="rId225" Type="http://schemas.openxmlformats.org/officeDocument/2006/relationships/hyperlink" Target="https://www.ecb.europa.eu/pub/financial-stability/macroprudential-bulletin/html/ecb.mpbu202104_3~a7ddbf0d16.en.html" TargetMode="External"/><Relationship Id="rId246" Type="http://schemas.openxmlformats.org/officeDocument/2006/relationships/hyperlink" Target="https://www.esma.europa.eu/press-news/esma-news/esma-sets-out-approach-mifir-tick-size-regime-systematic-internalisers" TargetMode="External"/><Relationship Id="rId267" Type="http://schemas.openxmlformats.org/officeDocument/2006/relationships/hyperlink" Target="https://www.esma.europa.eu/sites/default/files/library/esma22-106-2738_own_initiative_smsg_report_ii_on_covid-19_related_issues.pdf" TargetMode="External"/><Relationship Id="rId106" Type="http://schemas.openxmlformats.org/officeDocument/2006/relationships/hyperlink" Target="https://www.centralbank.ie/consumer-hub/covid-19/faq-for-regulated-firms" TargetMode="External"/><Relationship Id="rId127" Type="http://schemas.openxmlformats.org/officeDocument/2006/relationships/hyperlink" Target="https://eba.europa.eu/eu-banks-sail-through-corona-crisis-sound-capital-ratios" TargetMode="External"/><Relationship Id="rId10" Type="http://schemas.openxmlformats.org/officeDocument/2006/relationships/hyperlink" Target="https://www.algoodbody.com/covid-19-coronavirus-hub" TargetMode="External"/><Relationship Id="rId31" Type="http://schemas.openxmlformats.org/officeDocument/2006/relationships/hyperlink" Target="https://www.centralbank.ie/docs/default-source/regulation/industry-market-sectors/insurance-reinsurance/solvency-ii/requirements-and-guidance/covid19-sprvs-supervisory-flexibility-regarding-reporting-deadlines.pdf?sfvrsn=4" TargetMode="External"/><Relationship Id="rId52" Type="http://schemas.openxmlformats.org/officeDocument/2006/relationships/hyperlink" Target="https://www.centralbank.ie/consumer-hub/covid-19" TargetMode="External"/><Relationship Id="rId73" Type="http://schemas.openxmlformats.org/officeDocument/2006/relationships/hyperlink" Target="https://www.centralbank.ie/news/article/press-release-FSNpayment-breaks-provided-a-major-source-of-temporary-relief-to-irish-households-and-firms-15-september-2020" TargetMode="External"/><Relationship Id="rId94" Type="http://schemas.openxmlformats.org/officeDocument/2006/relationships/hyperlink" Target="https://www.centralbank.ie/consumer-hub/covid-19/faq-for-consumers?utm_medium=website&amp;utm_source=CBI-homepage&amp;utm_campaign=motion-graphic-5&amp;utm_content=44145" TargetMode="External"/><Relationship Id="rId148" Type="http://schemas.openxmlformats.org/officeDocument/2006/relationships/hyperlink" Target="https://eba.europa.eu/eba-updates-its-work-programme-2020-light-covid-19-pandemic" TargetMode="External"/><Relationship Id="rId169" Type="http://schemas.openxmlformats.org/officeDocument/2006/relationships/hyperlink" Target="https://www.ecb.europa.eu/press/pr/date/2020/html/ecb.pr200430_1~477f400e39.en.html" TargetMode="External"/><Relationship Id="rId4" Type="http://schemas.openxmlformats.org/officeDocument/2006/relationships/styles" Target="styles.xml"/><Relationship Id="rId180" Type="http://schemas.openxmlformats.org/officeDocument/2006/relationships/hyperlink" Target="https://www.ecb.europa.eu/pub/economic-research/resbull/2020/html/ecb.rb200619~1593190f55.en.html" TargetMode="External"/><Relationship Id="rId215" Type="http://schemas.openxmlformats.org/officeDocument/2006/relationships/hyperlink" Target="https://www.ecb.europa.eu/pub/economic-bulletin/focus/2021/html/ecb.ebbox202101_02~f0960a5b38.en.html" TargetMode="External"/><Relationship Id="rId236" Type="http://schemas.openxmlformats.org/officeDocument/2006/relationships/hyperlink" Target="https://www.algoodbody.com/insights-publications/esma-requires-net-short-position-holders-to-report-positions-of-0.1-and-above" TargetMode="External"/><Relationship Id="rId257" Type="http://schemas.openxmlformats.org/officeDocument/2006/relationships/hyperlink" Target="https://www.esma.europa.eu/press-news/esma-news/esma-postpones-publication-dates-annual-non-equity-transparency-calculations" TargetMode="External"/><Relationship Id="rId278" Type="http://schemas.openxmlformats.org/officeDocument/2006/relationships/hyperlink" Target="https://www.esma.europa.eu/sites/default/files/library/esma50-165-1371_risk_dashboard_no_2_2020.pdf" TargetMode="External"/><Relationship Id="rId42" Type="http://schemas.openxmlformats.org/officeDocument/2006/relationships/hyperlink" Target="https://www.centralbank.ie/news/article/blog-covid-19-what-can-we-learn-from-history" TargetMode="External"/><Relationship Id="rId84" Type="http://schemas.openxmlformats.org/officeDocument/2006/relationships/hyperlink" Target="http://www.centralbank.ie/docs/default-source/publications/economic-letters/vol-2020-no-9-the-persisting-effect-of-the-pandemic-on-money-market-funds-and-money-markets-(golden).pdf?sfvrsn=25" TargetMode="External"/><Relationship Id="rId138" Type="http://schemas.openxmlformats.org/officeDocument/2006/relationships/hyperlink" Target="https://eba.europa.eu/regulation-and-policy/credit-risk/guidelines-legislative-and-non-legislative-moratoria-loan-repayments-applied-light-covid-19-crisis" TargetMode="External"/><Relationship Id="rId191" Type="http://schemas.openxmlformats.org/officeDocument/2006/relationships/hyperlink" Target="https://www.ecb.europa.eu/press/pr/date/2020/html/ecb.mp200910~f4a8da495e.en.html" TargetMode="External"/><Relationship Id="rId205" Type="http://schemas.openxmlformats.org/officeDocument/2006/relationships/hyperlink" Target="https://www.bankingsupervision.europa.eu/ecb/pub/pdf/en_ecb_2020_62_f_sign~6a404d7d9c..pdf" TargetMode="External"/><Relationship Id="rId247" Type="http://schemas.openxmlformats.org/officeDocument/2006/relationships/hyperlink" Target="https://www.esma.europa.eu/press-news/esma-news/esma-clarifies-position-call-taping-under-mifid-ii" TargetMode="External"/><Relationship Id="rId107" Type="http://schemas.openxmlformats.org/officeDocument/2006/relationships/hyperlink" Target="https://www.centralbank.ie/news/article/government-income-supports-significantly-mitigated-impact-of-covid-19-on-household-incomes-23-february-2021" TargetMode="External"/><Relationship Id="rId11" Type="http://schemas.openxmlformats.org/officeDocument/2006/relationships/hyperlink" Target="https://www.centralbank.ie/news/article/press-release-statement-covid-19-3-march-2020" TargetMode="External"/><Relationship Id="rId53" Type="http://schemas.openxmlformats.org/officeDocument/2006/relationships/hyperlink" Target="https://centralbank.ie/news/article/blog-protecting-consumers-through-covid-19" TargetMode="External"/><Relationship Id="rId149" Type="http://schemas.openxmlformats.org/officeDocument/2006/relationships/hyperlink" Target="https://eba.europa.eu/regulation-and-policy/credit-risk/guidelines-legislative-and-non-legislative-moratoria-loan-repayments-applied-light-covid-19-crisis" TargetMode="External"/><Relationship Id="rId95" Type="http://schemas.openxmlformats.org/officeDocument/2006/relationships/hyperlink" Target="https://www.centralbank.ie/consumer-hub/covid-19/faq-for-regulated-firms" TargetMode="External"/><Relationship Id="rId160" Type="http://schemas.openxmlformats.org/officeDocument/2006/relationships/hyperlink" Target="https://www.ecb.europa.eu/press/pr/date/2020/html/ecb.pr200312~45417d8643.en.html" TargetMode="External"/><Relationship Id="rId216" Type="http://schemas.openxmlformats.org/officeDocument/2006/relationships/hyperlink" Target="https://www.bankingsupervision.europa.eu/press/publications/html/ssm.faq_ECB_supervisory_measures_in_reaction_to_the_coronavirus~8a631697a4.en.html" TargetMode="External"/><Relationship Id="rId258" Type="http://schemas.openxmlformats.org/officeDocument/2006/relationships/hyperlink" Target="https://www.esma.europa.eu/press-news/esma-news/esma-extends-mifid-iimifir-transparency-review-report-consultation-14-june-2020" TargetMode="External"/><Relationship Id="rId22" Type="http://schemas.openxmlformats.org/officeDocument/2006/relationships/hyperlink" Target="https://www.centralbank.ie/docs/default-source/publications/economic-letters/vol-2020-no-2-covid-19-monetary-policy-and-the-irish-economy-(holton-phelan-and-stuart).pdf" TargetMode="External"/><Relationship Id="rId64" Type="http://schemas.openxmlformats.org/officeDocument/2006/relationships/hyperlink" Target="https://www.centralbank.ie/consumer-hub/covid-19/faq-for-regulated-firms" TargetMode="External"/><Relationship Id="rId118" Type="http://schemas.openxmlformats.org/officeDocument/2006/relationships/hyperlink" Target="https://eba.europa.eu/sites/default/documents/files/document_library/News%20and%20Press/Press%20Room/Press%20Releases/2020/EBA%20provides%20clarity%20to%20banks%20and%20consumers%20on%20the%20application%20of%20the%20prudential%20framework%20in%20light%20of%20COVID-19%20measures/Statement%20on%20the%20application%20of%20the%20prudential%20framework%20regarding%20Default%2C%20Forbearance%20and%20IFRS9%20in%20light%20of%20COVID-19%20measur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LG Brand Colours">
      <a:dk1>
        <a:sysClr val="windowText" lastClr="000000"/>
      </a:dk1>
      <a:lt1>
        <a:sysClr val="window" lastClr="FFFFFF"/>
      </a:lt1>
      <a:dk2>
        <a:srgbClr val="3E3935"/>
      </a:dk2>
      <a:lt2>
        <a:srgbClr val="938D89"/>
      </a:lt2>
      <a:accent1>
        <a:srgbClr val="2CD5C4"/>
      </a:accent1>
      <a:accent2>
        <a:srgbClr val="80E5DB"/>
      </a:accent2>
      <a:accent3>
        <a:srgbClr val="AAEEE7"/>
      </a:accent3>
      <a:accent4>
        <a:srgbClr val="3E3935"/>
      </a:accent4>
      <a:accent5>
        <a:srgbClr val="78716C"/>
      </a:accent5>
      <a:accent6>
        <a:srgbClr val="C6C2C0"/>
      </a:accent6>
      <a:hlink>
        <a:srgbClr val="2CD5C4"/>
      </a:hlink>
      <a:folHlink>
        <a:srgbClr val="2CD5C4"/>
      </a:folHlink>
    </a:clrScheme>
    <a:fontScheme name="ALG">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t e m p l a t e   x m l n s : x s d = " h t t p : / / w w w . w 3 . o r g / 2 0 0 1 / X M L S c h e m a "   x m l n s : x s i = " h t t p : / / w w w . w 3 . o r g / 2 0 0 1 / X M L S c h e m a - i n s t a n c e "   i d = " 5 3 7 6 a 9 0 7 - f 7 9 1 - 4 5 2 6 - 8 4 8 6 - 1 8 8 a 7 a d 7 7 7 1 e "   n a m e = " & l t ; ? x m l   v e r s i o n = & q u o t ; 1 . 0 & q u o t ;   e n c o d i n g = & q u o t ; u t f - 1 6 & q u o t ; ? & g t ; & # x A ; & l t ; u i L o c a l i z e d S t r i n g   x m l n s : x s d = & q u o t ; h t t p : / / w w w . w 3 . o r g / 2 0 0 1 / X M L S c h e m a & q u o t ;   x m l n s : x s i = & q u o t ; h t t p : / / w w w . w 3 . o r g / 2 0 0 1 / X M L S c h e m a - i n s t a n c e & q u o t ; & g t ; & # x A ;     & l t ; t y p e & g t ; l a b e l & l t ; / t y p e & g t ; & # x A ;     & l t ; t e x t & g t ; D o c   N a m e   B l a n k & l t ; / t e x t & g t ; & # x A ; & l t ; / u i L o c a l i z e d S t r i n g & g t ; "   t e m p l a t e F u l l N a m e = " \ L e g a l   D o c u m e n t . d o t x "   v e r s i o n = " 0 "   s c h e m a V e r s i o n = " 1 "   w o r d V e r s i o n = " 1 6 . 0 "   l a n g u a g e I s o = " e n - I E "   o f f i c e I d = " 8 0 b 4 1 5 4 1 - e 7 a e - 4 f d f - 8 e 6 b - a 9 4 c 0 0 6 f 2 c 8 c "   h e l p U r l = " & l t ; ? x m l   v e r s i o n = & q u o t ; 1 . 0 & q u o t ;   e n c o d i n g = & q u o t ; u t f - 1 6 & q u o t ; ? & g t ; & # x A ; & l t ; u i L o c a l i z e d S t r i n g   x m l n s : x s d = & q u o t ; h t t p : / / w w w . w 3 . o r g / 2 0 0 1 / X M L S c h e m a & q u o t ;   x m l n s : x s i = & q u o t ; h t t p : / / w w w . w 3 . o r g / 2 0 0 1 / X M L S c h e m a - i n s t a n c e & q u o t ; & g t ; & # x A ;     & l t ; t y p e & g t ; f i x e d & l t ; / t y p e & g t ; & # x A ;     & l t ; t e x t   / & g t ; & # x A ; & l t ; / u i L o c a l i z e d S t r i n g & g t ; "   i m p o r t D a t a = " f a l s e "   w i z a r d H e i g h t = " 0 "   w i z a r d W i d t h = " 0 "   w i z a r d P a n e l W i d t h = " 0 "   h i d e W i z a r d I f V a l i d = " f a l s e "   w i z a r d T a b P o s i t i o n = " n o n e "   x m l n s = " h t t p : / / i p h e l i o n . c o m / w o r d / o u t l i n e / " >  
     < a u t h o r >  
         < l o c a l i z e d P r o f i l e s / >  
         < f r o m S e a r c h C o n t a c t > f a l s e < / f r o m S e a r c h C o n t a c t >  
         < i d > c 5 2 6 1 f c 6 - 5 a c d - 4 0 1 c - a 1 c 7 - 8 8 1 7 3 2 4 6 4 d 4 6 < / i d >  
         < n a m e > S i n e a d   G l e e s o n < / n a m e >  
         < i n i t i a l s / >  
         < p r i m a r y O f f i c e > D u b l i n < / p r i m a r y O f f i c e >  
         < p r i m a r y O f f i c e I d > 8 0 b 4 1 5 4 1 - e 7 a e - 4 f d f - 8 e 6 b - a 9 4 c 0 0 6 f 2 c 8 c < / p r i m a r y O f f i c e I d >  
         < p r i m a r y L a n g u a g e I s o > e n - I E < / p r i m a r y L a n g u a g e I s o >  
         < p h o n e N u m b e r F o r m a t > + 3 5 3   1   6 4 9   X X X X < / p h o n e N u m b e r F o r m a t >  
         < f a x N u m b e r F o r m a t > + 3 5 3   1   6 4 9   X X X X < / f a x N u m b e r F o r m a t >  
         < m o b i l e N u m b e r F o r m a t / >  
         < j o b D e s c r i p t i o n > T r a i n e e   S o l i c i t o r < / j o b D e s c r i p t i o n >  
         < d e p a r t m e n t > T r a i n e e   S o l i c i t o r < / d e p a r t m e n t >  
         < e m a i l > s g l e e s o n @ a l g o o d b o d y . c o m < / e m a i l >  
         < r a w D i r e c t L i n e > 3 5 3 1 6 4 9 2 1 7 1 < / r a w D i r e c t L i n e >  
         < r a w D i r e c t F a x / >  
         < m o b i l e > + 3 5 3 8 5 7 1 9 2 0 7 8 < / m o b i l e >  
         < l o g i n > s g l e e s o n < / l o g i n >  
         < e m p l y e e I d / >  
     < / a u t h o r >  
     < c o n t e n t C o n t r o l s >  
         < c o n t e n t C o n t r o l   i d = " d d 3 b 8 b 5 8 - 5 c e 6 - 4 9 4 9 - a 9 0 9 - c 6 7 f 8 8 4 4 7 d 9 6 "   n a m e = " D M S . D o c I d F o r m a t "   a s s e m b l y = " I p h e l i o n . O u t l i n e . W o r d . d l l "   t y p e = " I p h e l i o n . O u t l i n e . W o r d . R e n d e r e r s . T e x t R e n d e r e r "   o r d e r = " 3 "   a c t i v e = " t r u e "   e n t i t y I d = " c d a 2 d 8 a e - 6 a 2 0 - 4 5 c 5 - b 6 9 c - c 5 3 d 1 4 1 4 f f 5 3 "   f i e l d I d = " 7 2 9 0 4 a 4 7 - 5 7 8 0 - 4 5 9 c - b e 7 a - 4 4 8 f 9 a d 8 d 6 b 4 "   p a r e n t I d = " 0 0 0 0 0 0 0 0 - 0 0 0 0 - 0 0 0 0 - 0 0 0 0 - 0 0 0 0 0 0 0 0 0 0 0 0 "   l e v e l O r d e r = " 1 0 0 "   c o n t r o l T y p e = " p l a i n T e x t "   c o n t r o l E d i t T y p e = " i n l i n e "   e n c l o s i n g B o o k m a r k = " f a l s e "   f o r m a t E v a l u a t o r T y p e = " e x p r e s s i o n "   t e x t C a s e = " i g n o r e C a s e "   r e m o v e C o n t r o l = " f a l s e "   i g n o r e F o r m a t I f E m p t y = " f a l s e " >  
             < p a r a m e t e r s >  
                 < p a r a m e t e r   i d = " 1 a 4 5 a 1 b 3 - 7 5 1 c - 4 5 a 1 - 9 7 c 3 - f 4 c 5 a 0 6 4 9 f f 8 "   n a m e = " D e l e t e   l i n e   i f   e m p t y "   t y p e = " S y s t e m . B o o l e a n ,   m s c o r l i b ,   V e r s i o n = 4 . 0 . 0 . 0 ,   C u l t u r e = n e u t r a l ,   P u b l i c K e y T o k e n = b 7 7 a 5 c 5 6 1 9 3 4 e 0 8 9 "   o r d e r = " 9 9 9 "   k e y = " d e l e t e L i n e I f E m p t y "   v a l u e = " F a l s e "   g r o u p O r d e r = " - 1 " / >  
                 < p a r a m e t e r   i d = " a b 4 d 5 5 5 2 - 0 b 8 4 - 4 2 0 d - a a f 6 - e c 1 d a 7 2 6 7 4 8 4 "   n a m e = " U p d a t e   f i e l d   f r o m   d o c u m e n t "   t y p e = " S y s t e m . B o o l e a n ,   m s c o r l i b ,   V e r s i o n = 4 . 0 . 0 . 0 ,   C u l t u r e = n e u t r a l ,   P u b l i c K e y T o k e n = b 7 7 a 5 c 5 6 1 9 3 4 e 0 8 9 "   o r d e r = " 9 9 9 "   k e y = " u p d a t e F i e l d "   v a l u e = " F a l s e "   g r o u p O r d e r = " - 1 " / >  
                 < p a r a m e t e r   i d = " d 6 b f 4 b 7 1 - d 4 9 4 - 4 2 8 a - 8 d d 8 - 8 a 7 3 5 b 3 8 5 1 0 6 "   n a m e = " F i e l d   i n d e x "   t y p e = " S y s t e m . I n t 3 2 ,   m s c o r l i b ,   V e r s i o n = 4 . 0 . 0 . 0 ,   C u l t u r e = n e u t r a l ,   P u b l i c K e y T o k e n = b 7 7 a 5 c 5 6 1 9 3 4 e 0 8 9 "   o r d e r = " 9 9 9 "   k e y = " i n d e x "   v a l u e = " "   g r o u p O r d e r = " - 1 " / >  
                 < p a r a m e t e r   i d = " d e 4 c 9 6 0 0 - 3 b 2 c - 4 5 0 7 - 9 4 b b - 0 f c a 4 c e 0 e a 5 2 "   n a m e = " R o w s   t o   r e m o v e   i f   e m p t y "   t y p e = " S y s t e m . I n t 3 2 ,   m s c o r l i b ,   V e r s i o n = 4 . 0 . 0 . 0 ,   C u l t u r e = n e u t r a l ,   P u b l i c K e y T o k e n = b 7 7 a 5 c 5 6 1 9 3 4 e 0 8 9 "   o r d e r = " 9 9 9 "   k e y = " d e l e t e R o w C o u n t "   v a l u e = " 0 "   g r o u p O r d e r = " - 1 " / >  
                 < p a r a m e t e r   i d = " e 1 b 4 1 6 e 5 - c c 5 6 - 4 1 a 6 - 8 0 9 e - 8 7 8 6 b b 8 6 4 2 7 6 " 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    < c o n t e n t C o n t r o l   i d = " d f 5 0 5 7 f 5 - e a 5 9 - 4 9 1 c - 8 2 7 8 - b 7 3 1 f 4 c 1 e 5 8 e "   n a m e = " D o c   T y p e . S e l e c t e d V a l u e "   a s s e m b l y = " I p h e l i o n . O u t l i n e . W o r d . d l l "   t y p e = " I p h e l i o n . O u t l i n e . W o r d . R e n d e r e r s . T e x t R e n d e r e r "   o r d e r = " 3 "   a c t i v e = " f a l s e "   e n t i t y I d = " f 6 1 b d f b 0 - b 0 c 3 - 4 5 a 8 - 9 2 f a - 0 e 8 7 8 2 f 8 e 7 8 6 "   f i e l d I d = " 8 1 e 9 2 d 9 c - b 5 8 3 - 4 e 1 1 - a c a 5 - 6 4 2 d 8 c a e 8 1 5 7 "   p a r e n t I d = " 0 0 0 0 0 0 0 0 - 0 0 0 0 - 0 0 0 0 - 0 0 0 0 - 0 0 0 0 0 0 0 0 0 0 0 0 "   l e v e l O r d e r = " 1 0 0 "   c o n t r o l T y p e = " p l a i n T e x t "   c o n t r o l E d i t T y p e = " i n l i n e "   e n c l o s i n g B o o k m a r k = " f a l s e "   f o r m a t E v a l u a t o r T y p e = " e x p r e s s i o n "   t e x t C a s e = " i g n o r e C a s e "   r e m o v e C o n t r o l = " t r u e "   i g n o r e F o r m a t I f E m p t y = " f a l s e " >  
             < p a r a m e t e r s >  
                 < p a r a m e t e r   i d = " e 6 1 7 9 c b 3 - 1 2 b 5 - 4 6 1 0 - 8 1 c c - 7 6 f f b 8 a a 6 2 f 2 "   n a m e = " D e l e t e   l i n e   i f   e m p t y "   t y p e = " S y s t e m . B o o l e a n ,   m s c o r l i b ,   V e r s i o n = 4 . 0 . 0 . 0 ,   C u l t u r e = n e u t r a l ,   P u b l i c K e y T o k e n = b 7 7 a 5 c 5 6 1 9 3 4 e 0 8 9 "   o r d e r = " 9 9 9 "   k e y = " d e l e t e L i n e I f E m p t y "   v a l u e = " F a l s e "   g r o u p O r d e r = " - 1 " / >  
                 < p a r a m e t e r   i d = " e 2 7 1 d 5 1 a - 5 0 a c - 4 b 6 5 - 9 2 a 9 - c 4 f 3 6 f e c e b 4 8 "   n a m e = " U p d a t e   f i e l d   f r o m   d o c u m e n t "   t y p e = " S y s t e m . B o o l e a n ,   m s c o r l i b ,   V e r s i o n = 4 . 0 . 0 . 0 ,   C u l t u r e = n e u t r a l ,   P u b l i c K e y T o k e n = b 7 7 a 5 c 5 6 1 9 3 4 e 0 8 9 "   o r d e r = " 9 9 9 "   k e y = " u p d a t e F i e l d "   v a l u e = " F a l s e "   g r o u p O r d e r = " - 1 " / >  
                 < p a r a m e t e r   i d = " 9 9 2 6 d 2 0 6 - 5 6 e 5 - 4 8 b f - 8 e 1 c - d 0 a b 6 a e 9 1 c f 7 "   n a m e = " F i e l d   i n d e x "   t y p e = " S y s t e m . I n t 3 2 ,   m s c o r l i b ,   V e r s i o n = 4 . 0 . 0 . 0 ,   C u l t u r e = n e u t r a l ,   P u b l i c K e y T o k e n = b 7 7 a 5 c 5 6 1 9 3 4 e 0 8 9 "   o r d e r = " 9 9 9 "   k e y = " i n d e x "   v a l u e = " "   g r o u p O r d e r = " - 1 " / >  
                 < p a r a m e t e r   i d = " 8 2 6 c 8 b 4 3 - 5 3 8 e - 4 1 1 a - b 3 5 8 - d 5 6 c a b 1 7 6 d f 5 "   n a m e = " R o w s   t o   r e m o v e   i f   e m p t y "   t y p e = " S y s t e m . I n t 3 2 ,   m s c o r l i b ,   V e r s i o n = 4 . 0 . 0 . 0 ,   C u l t u r e = n e u t r a l ,   P u b l i c K e y T o k e n = b 7 7 a 5 c 5 6 1 9 3 4 e 0 8 9 "   o r d e r = " 9 9 9 "   k e y = " d e l e t e R o w C o u n t "   v a l u e = " 0 "   g r o u p O r d e r = " - 1 " / >  
                 < p a r a m e t e r   i d = " 1 d 5 2 1 7 8 5 - 7 f 1 3 - 4 1 7 5 - b 8 1 a - e 2 f 8 3 6 8 9 7 4 c 3 "   n a m e = " P l a c e h o l d e r   t e x t "   t y p e = " S y s t e m . S t r i n g ,   m s c o r l i b ,   V e r s i o n = 4 . 0 . 0 . 0 ,   C u l t u r e = n e u t r a l ,   P u b l i c K e y T o k e n = b 7 7 a 5 c 5 6 1 9 3 4 e 0 8 9 "   o r d e r = " 9 9 9 "   k e y = " p l a c e h o l d e r "   v a l u e = " & l t ; ? x m l   v e r s i o n = & q u o t ; 1 . 0 & q u o t ;   e n c o d i n g = & q u o t ; u t f - 1 6 & q u o t ; ? & g t ; & # x A ; & l t ; l o c a l i z e d S t r i n g   x m l n s : x s i = & q u o t ; h t t p : / / w w w . w 3 . o r g / 2 0 0 1 / X M L S c h e m a - i n s t a n c e & q u o t ;   x m l n s : x s d = & q u o t ; h t t p : / / w w w . w 3 . o r g / 2 0 0 1 / X M L S c h e m a & q u o t ; & g t ; & # x A ;     & l t ; t y p e & g t ; f i x e d & l t ; / t y p e & g t ; & # x A ;     & l t ; t e x t   / & g t ; & # x A ; & l t ; / l o c a l i z e d S t r i n g & g t ; "   a r g u m e n t = " E x p r e s s i o n L o c a l i z e d S t r i n g "   g r o u p O r d e r = " - 1 " / >  
             < / p a r a m e t e r s >  
         < / c o n t e n t C o n t r o l >  
     < / c o n t e n t C o n t r o l s >  
     < q u e s t i o n s >  
         < q u e s t i o n   i d = " c d a 2 d 8 a e - 6 a 2 0 - 4 5 c 5 - b 6 9 c - c 5 3 d 1 4 1 4 f f 5 3 "   n a m e = " D M S "   a s s e m b l y = " I p h e l i o n . O u t l i n e . I n t e g r a t i o n . W o r k S i t e . d l l "   t y p e = " I p h e l i o n . O u t l i n e . I n t e g r a t i o n . W o r k S i t e . V i e w M o d e l s . S e l e c t W o r k S p a c e V i e w M o d e l "   o r d e r = " 0 "   a c t i v e = " t r u e "   g r o u p = " & l t ; D e f a u l t & g t ; "   r e s u l t T y p e = " s i n g l e "   d i s p l a y T y p e = " S t a r t u p "   p a g e C o l u m n S p a n = " c o l u m n S p a n 6 "   p a r e n t I d = " 0 0 0 0 0 0 0 0 - 0 0 0 0 - 0 0 0 0 - 0 0 0 0 - 0 0 0 0 0 0 0 0 0 0 0 0 " >  
             < p a r a m e t e r s >  
                 < p a r a m e t e r   i d = " 9 d 8 2 0 9 2 b - d c 1 9 - 4 f 4 9 - a f 0 6 - 0 8 6 a 8 c 6 0 e 4 3 d "   n a m e = " D o c u m e n t   t y p e "   t y p e = " S y s t e m . S t r i n g ,   m s c o r l i b ,   V e r s i o n = 4 . 0 . 0 . 0 ,   C u l t u r e = n e u t r a l ,   P u b l i c K e y T o k e n = b 7 7 a 5 c 5 6 1 9 3 4 e 0 8 9 "   o r d e r = " 9 9 9 "   k e y = " d o c T y p e "   v a l u e = " "   g r o u p O r d e r = " - 1 " / >  
                 < p a r a m e t e r   i d = " 8 c 2 a a d 6 3 - 4 4 f f - 4 5 6 4 - 9 8 8 a - a 7 a 7 8 6 6 b 8 c 7 d "   n a m e = " D o c u m e n t   s u b - t y p e "   t y p e = " S y s t e m . S t r i n g ,   m s c o r l i b ,   V e r s i o n = 4 . 0 . 0 . 0 ,   C u l t u r e = n e u t r a l ,   P u b l i c K e y T o k e n = b 7 7 a 5 c 5 6 1 9 3 4 e 0 8 9 "   o r d e r = " 9 9 9 "   k e y = " d o c S u b T y p e "   v a l u e = " "   g r o u p O r d e r = " - 1 " / >  
                 < p a r a m e t e r   i d = " 3 8 6 2 e b 7 1 - 5 c e 1 - 4 4 9 a - 8 3 8 5 - 1 b 9 f b 3 0 1 e e 6 a "   n a m e = " D o c   I d   f o r m a t "   t y p e = " S y s t e m . S t r i n g ,   m s c o r l i b ,   V e r s i o n = 4 . 0 . 0 . 0 ,   C u l t u r e = n e u t r a l ,   P u b l i c K e y T o k e n = b 7 7 a 5 c 5 6 1 9 3 4 e 0 8 9 "   o r d e r = " 9 9 9 "   k e y = " d o c I d F o r m a t "   v a l u e = " & l t ; ? x m l   v e r s i o n = & q u o t ; 1 . 0 & q u o t ;   e n c o d i n g = & q u o t ; u t f - 1 6 & q u o t ; ? & g t ; & # x A ; & l t ; f o r m a t S t r i n g   x m l n s : x s i = & q u o t ; h t t p : / / w w w . w 3 . o r g / 2 0 0 1 / X M L S c h e m a - i n s t a n c e & q u o t ;   x m l n s : x s d = & q u o t ; h t t p : / / w w w . w 3 . o r g / 2 0 0 1 / X M L S c h e m a & q u o t ; & g t ; & # x A ;     & l t ; t y p e & g t ; e x p r e s s i o n & l t ; / t y p e & g t ; & # x A ;     & l t ; t e x t & g t ; I F N O T E M P T Y ( { D M S . D o c N u m b e r } , & # x A ;   U P P E R ( L E F T ( { D M S . L i b r a r y } , 1 ) )   & a m p ; a m p ;   { L a b e l s . D o c I D   s e p a r a t o r }   & a m p ; a m p ;   { D M S . D o c N u m b e r }   & a m p ; a m p ;   { L a b e l s . D o c I D   s e p a r a t o r }   & a m p ; a m p ;   { D M S . D o c V e r s i o n } , & # x A ; & q u o t ; & q u o t ; ) & # x A ; & # x A ; & l t ; / t e x t & g t ; & # x A ; & l t ; / f o r m a t S t r i n g & g t ; "   a r g u m e n t = " F o r m a t S t r i n g "   g r o u p O r d e r = " - 1 " / >  
                 < p a r a m e t e r   i d = " 7 0 c e 0 7 a 8 - 3 7 9 3 - 4 f e 8 - 9 5 e e - a b 1 2 a f 1 5 4 2 d 7 "   n a m e = " R e m e m b e r   w o r k s p a c e   a n d   f o l d e r "   t y p e = " S y s t e m . B o o l e a n ,   m s c o r l i b ,   V e r s i o n = 4 . 0 . 0 . 0 ,   C u l t u r e = n e u t r a l ,   P u b l i c K e y T o k e n = b 7 7 a 5 c 5 6 1 9 3 4 e 0 8 9 "   o r d e r = " 9 9 9 "   k e y = " r e m e m b e r W S "   v a l u e = " T r u e "   g r o u p O r d e r = " - 1 " / >  
                 < p a r a m e t e r   i d = " 4 4 5 2 a 0 1 9 - 1 4 d c - 4 7 7 a - a e b 4 - 3 e 4 6 7 c f c 4 3 2 e "   n a m e = " R e m o v e   C l / M t   l e a d   z e r o s "   t y p e = " S y s t e m . B o o l e a n ,   m s c o r l i b ,   V e r s i o n = 4 . 0 . 0 . 0 ,   C u l t u r e = n e u t r a l ,   P u b l i c K e y T o k e n = b 7 7 a 5 c 5 6 1 9 3 4 e 0 8 9 "   o r d e r = " 9 9 9 "   k e y = " r e m o v e L e a d i n g Z e r o s "   v a l u e = " F a l s e "   g r o u p O r d e r = " - 1 " / >  
                 < p a r a m e t e r   i d = " 2 d 1 3 3 a 9 d - 9 5 0 1 - 4 1 d 8 - b c a 9 - 3 c 0 0 4 1 0 9 6 d 3 f "   n a m e = " O r d e r   W o r k s p a c e s   a l p h a b e t i c a l l y "   t y p e = " S y s t e m . B o o l e a n ,   m s c o r l i b ,   V e r s i o n = 4 . 0 . 0 . 0 ,   C u l t u r e = n e u t r a l ,   P u b l i c K e y T o k e n = b 7 7 a 5 c 5 6 1 9 3 4 e 0 8 9 "   o r d e r = " 9 9 9 "   k e y = " o r d e r W o r k s p a c e s A l p h a b e t i c a l l y "   v a l u e = " F a l s e "   g r o u p O r d e r = " - 1 " / >  
                 < p a r a m e t e r   i d = " 1 f 7 7 2 1 6 8 - 5 4 9 c - 4 4 8 c - b b e 5 - 4 4 9 5 7 c 8 b 6 f f 4 "   n a m e = " D e f a u l t   f o l d e r "   t y p e = " S y s t e m . S t r i n g ,   m s c o r l i b ,   V e r s i o n = 4 . 0 . 0 . 0 ,   C u l t u r e = n e u t r a l ,   P u b l i c K e y T o k e n = b 7 7 a 5 c 5 6 1 9 3 4 e 0 8 9 "   o r d e r = " 9 9 9 "   k e y = " d e f a u l t F o l d e r "   v a l u e = " "   a r g u m e n t = " I t e m L i s t C o n t r o l "   g r o u p O r d e r = " - 1 " / >  
                 < p a r a m e t e r   i d = " 7 3 3 5 6 0 f 5 - 0 8 c 6 - 4 4 3 6 - b c 9 f - 5 7 0 3 d 3 d 9 9 0 9 9 "   n a m e = " D o   n o t   d i s p l a y   i f   v a l i d "   t y p e = " S y s t e m . B o o l e a n ,   m s c o r l i b ,   V e r s i o n = 4 . 0 . 0 . 0 ,   C u l t u r e = n e u t r a l ,   P u b l i c K e y T o k e n = b 7 7 a 5 c 5 6 1 9 3 4 e 0 8 9 "   o r d e r = " 9 9 9 "   k e y = " i n v i s i b l e I f V a l i d "   v a l u e = " F a l s e "   g r o u p O r d e r = " - 1 " / >  
                 < p a r a m e t e r   i d = " b 4 8 c 6 f 3 2 - 1 b 3 3 - 4 1 a 4 - b 0 d 6 - 4 7 d 9 c 0 2 5 3 f 5 0 "   n a m e = " S h o w   a u t h o r   l o o k u p "   t y p e = " S y s t e m . B o o l e a n ,   m s c o r l i b ,   V e r s i o n = 4 . 0 . 0 . 0 ,   C u l t u r e = n e u t r a l ,   P u b l i c K e y T o k e n = b 7 7 a 5 c 5 6 1 9 3 4 e 0 8 9 "   o r d e r = " 9 9 9 "   k e y = " s h o w A u t h o r "   v a l u e = " F a l s e "   g r o u p O r d e r = " - 1 " / >  
                 < p a r a m e t e r   i d = " 9 7 f 5 1 1 4 8 - 7 3 3 a - 4 a 6 c - 8 4 f 7 - 1 a 3 7 2 c b 5 7 0 d f "   n a m e = " A u t h o r   f i e l d "   t y p e = " I p h e l i o n . O u t l i n e . M o d e l . E n t i t i e s . P a r a m e t e r F i e l d D e s c r i p t o r ,   I p h e l i o n . O u t l i n e . M o d e l ,   V e r s i o n = 1 . 7 . 0 . 3 6 ,   C u l t u r e = n e u t r a l ,   P u b l i c K e y T o k e n = n u l l "   o r d e r = " 9 9 9 "   k e y = " a u t h o r F i e l d "   v a l u e = " 0 8 3 d 5 a 5 f - 7 a 4 6 - 4 9 2 7 - a d 1 b - 2 e 7 1 0 3 f 3 6 8 b 1 | f 2 9 4 b 1 d 2 - 1 b 4 5 - 4 e 5 f - 9 4 c 4 - 2 9 5 3 e 5 1 5 0 1 3 7 "   g r o u p O r d e r = " - 1 " / >  
                 < p a r a m e t e r   i d = " d 4 c 6 6 a 4 c - 3 3 4 2 - 4 e c f - 8 b 2 4 - a f c 7 6 a f d b 6 4 9 "   n a m e = " S h o w   d o c u m e n t   t i t l e "   t y p e = " S y s t e m . B o o l e a n ,   m s c o r l i b ,   V e r s i o n = 4 . 0 . 0 . 0 ,   C u l t u r e = n e u t r a l ,   P u b l i c K e y T o k e n = b 7 7 a 5 c 5 6 1 9 3 4 e 0 8 9 "   o r d e r = " 9 9 9 "   k e y = " s h o w T i t l e "   v a l u e = " T r u e "   g r o u p O r d e r = " - 1 " / >  
             < / p a r a m e t e r s >  
         < / q u e s t i o n >  
         < q u e s t i o n   i d = " f 6 1 b d f b 0 - b 0 c 3 - 4 5 a 8 - 9 2 f a - 0 e 8 7 8 2 f 8 e 7 8 6 "   n a m e = " D M S D o c T y p e "   a s s e m b l y = " I p h e l i o n . O u t l i n e . C o n t r o l s . d l l "   t y p e = " I p h e l i o n . O u t l i n e . C o n t r o l s . Q u e s t i o n C o n t r o l s . V i e w M o d e l s . D r o p D o w n V i e w M o d e l "   o r d e r = " 1 "   a c t i v e = " t r u e "   g r o u p = " & l t ; D e f a u l t & g t ; "   r e s u l t T y p e = " s i n g l e "   d i s p l a y T y p e = " S t a r t u p "   p a g e C o l u m n S p a n = " c o l u m n S p a n 6 "   p a r e n t I d = " 0 0 0 0 0 0 0 0 - 0 0 0 0 - 0 0 0 0 - 0 0 0 0 - 0 0 0 0 0 0 0 0 0 0 0 0 " >  
             < p a r a m e t e r s >  
                 < p a r a m e t e r   i d = " 3 5 e 3 4 a 2 8 - 2 d a 9 - 4 4 5 3 - 8 d b 9 - d 7 5 4 7 0 f 7 3 7 d 1 "   n a m e = " V a l u e s "   t y p e = " S y s t e m . S t r i n g ,   m s c o r l i b ,   V e r s i o n = 4 . 0 . 0 . 0 ,   C u l t u r e = n e u t r a l ,   P u b l i c K e y T o k e n = b 7 7 a 5 c 5 6 1 9 3 4 e 0 8 9 "   o r d e r = " 9 9 9 "   k e y = " v a l u e s "   v a l u e = " A G , C M F S , G N , L E , R E D , R I "   a r g u m e n t = " I t e m L i s t C o n t r o l "   g r o u p O r d e r = " - 1 " / >  
                 < p a r a m e t e r   i d = " 4 a e b e 7 e a - 2 9 d 5 - 4 7 5 3 - 9 5 6 0 - 9 6 8 c 6 8 9 9 3 c 1 3 "   n a m e = " U s e r   p r o m p t "   t y p e = " S y s t e m . S t r i n g ,   m s c o r l i b ,   V e r s i o n = 4 . 0 . 0 . 0 ,   C u l t u r e = n e u t r a l ,   P u b l i c K e y T o k e n = b 7 7 a 5 c 5 6 1 9 3 4 e 0 8 9 "   o r d e r = " 9 9 9 "   k e y = " p r o m p t "   v a l u e = " & l t ; ? x m l   v e r s i o n = & q u o t ; 1 . 0 & q u o t ;   e n c o d i n g = & q u o t ; u t f - 1 6 & q u o t ; ? & g t ; & # x A ; & l t ; u i L o c a l i z e d S t r i n g   x m l n s : x s d = & q u o t ; h t t p : / / w w w . w 3 . o r g / 2 0 0 1 / X M L S c h e m a & q u o t ;   x m l n s : x s i = & q u o t ; h t t p : / / w w w . w 3 . o r g / 2 0 0 1 / X M L S c h e m a - i n s t a n c e & q u o t ; & g t ; & # x A ;     & l t ; t y p e & g t ; f i x e d & l t ; / t y p e & g t ; & # x A ;     & l t ; t e x t & g t ; D o c   T y p e & l t ; / t e x t & g t ; & # x A ; & l t ; / u i L o c a l i z e d S t r i n g & g t ; "   a r g u m e n t = " U I L o c a l i z e d S t r i n g "   g r o u p O r d e r = " - 1 " / >  
                 < p a r a m e t e r   i d = " c 7 0 b 4 9 4 b - 8 8 e 1 - 4 d a c - 9 6 b 5 - 0 e 6 3 a f 2 0 e 3 7 2 "   n a m e = " W i d t h   t y p e "   t y p e = " I p h e l i o n . O u t l i n e . M o d e l . I n t e r f a c e s . Q u e s t i o n C o n t r o l L a y o u t ,   I p h e l i o n . O u t l i n e . M o d e l ,   V e r s i o n = 1 . 7 . 0 . 3 6 ,   C u l t u r e = n e u t r a l ,   P u b l i c K e y T o k e n = n u l l "   o r d e r = " 9 9 9 "   k e y = " l a y o u t "   v a l u e = " H a l f "   g r o u p O r d e r = " - 1 " / >  
                 < p a r a m e t e r   i d = " 3 5 5 c 3 2 f 1 - 6 7 1 2 - 4 3 0 4 - a 9 6 5 - 7 6 1 2 4 1 2 4 b c 7 3 "   n a m e = " E m p t y   t e x t "   t y p e = " S y s t e m . S t r i n g ,   m s c o r l i b ,   V e r s i o n = 4 . 0 . 0 . 0 ,   C u l t u r e = n e u t r a l ,   P u b l i c K e y T o k e n = b 7 7 a 5 c 5 6 1 9 3 4 e 0 8 9 "   o r d e r = " 9 9 9 "   k e y = " e m p t y T e x t "   v a l u e = " & l t ; ? x m l   v e r s i o n = & q u o t ; 1 . 0 & q u o t ;   e n c o d i n g = & q u o t ; u t f - 1 6 & q u o t ; ? & g t ; & # x A ; & l t ; l o c a l i z e d S t r i n g   x m l n s : x s d = & q u o t ; h t t p : / / w w w . w 3 . o r g / 2 0 0 1 / X M L S c h e m a & q u o t ;   x m l n s : x s i = & q u o t ; h t t p : / / w w w . w 3 . o r g / 2 0 0 1 / X M L S c h e m a - i n s t a n c e & q u o t ; & g t ; & # x A ;     & l t ; t y p e & g t ; f i x e d & l t ; / t y p e & g t ; & # x A ;     & l t ; t e x t   / & g t ; & # x A ; & l t ; / l o c a l i z e d S t r i n g & g t ; "   a r g u m e n t = " L o c a l i z e d S t r i n g "   g r o u p O r d e r = " - 1 " / >  
                 < p a r a m e t e r   i d = " 0 5 2 f 9 9 2 b - c b f 8 - 4 6 a e - a f b b - 3 a a d d e 8 1 0 4 d 0 "   n a m e = " S h o w   p r o m p t "   t y p e = " S y s t e m . B o o l e a n ,   m s c o r l i b ,   V e r s i o n = 4 . 0 . 0 . 0 ,   C u l t u r e = n e u t r a l ,   P u b l i c K e y T o k e n = b 7 7 a 5 c 5 6 1 9 3 4 e 0 8 9 "   o r d e r = " 9 9 9 "   k e y = " s h o w P r o m p t "   v a l u e = " T r u e "   g r o u p O r d e r = " - 1 " / >  
                 < p a r a m e t e r   i d = " 9 e c 9 3 b 3 5 - 4 a 6 9 - 4 c b 7 - b 2 9 1 - f e e 7 1 b 2 1 7 8 e d "   n a m e = " I s   e d i t a b l e "   t y p e = " S y s t e m . B o o l e a n ,   m s c o r l i b ,   V e r s i o n = 4 . 0 . 0 . 0 ,   C u l t u r e = n e u t r a l ,   P u b l i c K e y T o k e n = b 7 7 a 5 c 5 6 1 9 3 4 e 0 8 9 "   o r d e r = " 9 9 9 "   k e y = " i s E d i t a b l e "   v a l u e = " T r u e "   g r o u p O r d e r = " - 1 " / >  
                 < p a r a m e t e r   i d = " 6 c c 1 9 6 8 0 - 0 9 a 7 - 4 a f e - 8 7 3 c - 0 9 4 2 c 7 c e 1 d b b "   n a m e = " R e p l a c e   v a l u e s   w i t h   l a b e l s "   t y p e = " S y s t e m . B o o l e a n ,   m s c o r l i b ,   V e r s i o n = 4 . 0 . 0 . 0 ,   C u l t u r e = n e u t r a l ,   P u b l i c K e y T o k e n = b 7 7 a 5 c 5 6 1 9 3 4 e 0 8 9 "   o r d e r = " 9 9 9 "   k e y = " u s e L a b e l s "   v a l u e = " F a l s e "   g r o u p O r d e r = " - 1 " / >  
                 < p a r a m e t e r   i d = " a 1 d 9 b 9 c 2 - 5 3 f a - 4 8 3 8 - a 7 2 8 - 3 d 2 7 a f 3 5 7 0 1 d "   n a m e = " R e m e m b e r   l a s t   v a l u e "   t y p e = " S y s t e m . B o o l e a n ,   m s c o r l i b ,   V e r s i o n = 4 . 0 . 0 . 0 ,   C u l t u r e = n e u t r a l ,   P u b l i c K e y T o k e n = b 7 7 a 5 c 5 6 1 9 3 4 e 0 8 9 "   o r d e r = " 9 9 9 "   k e y = " r e m e m b e r L a s t V a l u e "   v a l u e = " F a l s e "   g r o u p O r d e r = " - 1 " / >  
             < / p a r a m e t e r s >  
         < / q u e s t i o n >  
     < / q u e s t i o n s >  
     < c o m m a n d s >  
         < c o m m a n d   i d = " a 9 7 b d 7 e a - 5 1 7 d - 4 6 0 8 - b a 0 3 - 4 1 b 1 9 6 c f 8 9 f 5 "   n a m e = " S h o w   q u e s t i o n   f o r m "   a s s e m b l y = " I p h e l i o n . O u t l i n e . M o d e l . D L L "   t y p e = " I p h e l i o n . O u t l i n e . M o d e l . C o m m a n d s . S h o w F o r m C o m m a n d "   o r d e r = " 0 "   a c t i v e = " t r u e "   c o m m a n d T y p e = " s t a r t u p " >  
             < p a r a m e t e r s >  
                 < p a r a m e t e r   i d = " 5 a d b 1 d c a - b 5 2 e - 4 7 0 3 - b 7 d 0 - d c b b 9 a 8 8 5 f b 2 "   n a m e = " A s s e m b l y   n a m e "   t y p e = " S y s t e m . S t r i n g ,   m s c o r l i b ,   V e r s i o n = 4 . 0 . 0 . 0 ,   C u l t u r e = n e u t r a l ,   P u b l i c K e y T o k e n = b 7 7 a 5 c 5 6 1 9 3 4 e 0 8 9 "   o r d e r = " 9 9 9 "   k e y = " a s s e m b l y "   v a l u e = " I p h e l i o n . O u t l i n e . C o n t r o l s . d l l "   g r o u p O r d e r = " - 1 " / >  
                 < p a r a m e t e r   i d = " 4 d 1 7 5 c a a - 6 5 8 9 - 4 8 5 4 - 9 0 2 8 - 8 c a a 0 6 9 9 1 0 d b "   n a m e = " T y p e   n a m e "   t y p e = " S y s t e m . S t r i n g ,   m s c o r l i b ,   V e r s i o n = 4 . 0 . 0 . 0 ,   C u l t u r e = n e u t r a l ,   P u b l i c K e y T o k e n = b 7 7 a 5 c 5 6 1 9 3 4 e 0 8 9 "   o r d e r = " 9 9 9 "   k e y = " t y p e "   v a l u e = " I p h e l i o n . O u t l i n e . C o n t r o l s . Q u e s t i o n F o r m "   g r o u p O r d e r = " - 1 " / >  
             < / p a r a m e t e r s >  
         < / c o m m a n d >  
         < c o m m a n d   i d = " 3 0 0 6 2 d 9 6 - 4 b 5 5 - 4 8 2 8 - 9 3 a 7 - 8 1 e d 7 b 3 7 2 a 9 3 "   n a m e = " C l o s e   d o c u m e n t "   a s s e m b l y = " I p h e l i o n . O u t l i n e . W o r d . D L L "   t y p e = " I p h e l i o n . O u t l i n e . W o r d . C o m m a n d s . C l o s e D o c u m e n t C o m m a n d "   o r d e r = " 1 "   a c t i v e = " t r u e "   c o m m a n d T y p e = " s t a r t u p " >  
             < p a r a m e t e r s >  
                 < p a r a m e t e r   i d = " b f d b c 2 b a - a 5 7 e - 4 1 1 f - a 7 b 4 - c c 7 8 6 5 4 5 5 c 7 e "   n a m e = " C h e c k   q u e s t i o n "   t y p e = " S y s t e m . B o o l e a n ,   m s c o r l i b ,   V e r s i o n = 4 . 0 . 0 . 0 ,   C u l t u r e = n e u t r a l ,   P u b l i c K e y T o k e n = b 7 7 a 5 c 5 6 1 9 3 4 e 0 8 9 "   o r d e r = " 9 9 9 "   k e y = " c h e c k U s e r I n p u t "   v a l u e = " f a l s e "   g r o u p O r d e r = " - 1 " / >  
                 < p a r a m e t e r   i d = " c 1 a d 1 b c 7 - b e e 3 - 4 4 1 b - b f 2 4 - e 7 a c c 9 a f 7 5 d 0 "   n a m e = " F o r c e   c l o s e "   t y p e = " S y s t e m . B o o l e a n ,   m s c o r l i b ,   V e r s i o n = 4 . 0 . 0 . 0 ,   C u l t u r e = n e u t r a l ,   P u b l i c K e y T o k e n = b 7 7 a 5 c 5 6 1 9 3 4 e 0 8 9 "   o r d e r = " 9 9 9 "   k e y = " c l o s e O n S u c e s s "   v a l u e = " F a l s e "   g r o u p O r d e r = " - 1 " / >  
             < / p a r a m e t e r s >  
         < / c o m m a n d >  
         < c o m m a n d   i d = " c e 4 5 6 3 a 3 - a 8 2 8 - 4 1 2 f - a b 6 5 - f 3 9 e 5 a 2 5 3 0 1 1 "   n a m e = " S e t   D M S   D o c   T y p e "   a s s e m b l y = " I p h e l i o n . O u t l i n e . M o d e l . d l l "   t y p e = " I p h e l i o n . O u t l i n e . M o d e l . C o m m a n d s . S e t F i e l d V a l u e C o m m a n d "   o r d e r = " 2 "   a c t i v e = " t r u e "   c o m m a n d T y p e = " s t a r t u p " >  
             < p a r a m e t e r s >  
                 < p a r a m e t e r   i d = " 3 a a 3 e 5 6 f - e b 2 a - 4 e 8 5 - b a 5 f - a 1 3 a 7 2 3 5 9 4 f a "   n a m e = " F i e l d   l i s t "   t y p e = " I p h e l i o n . O u t l i n e . M o d e l . E n t i t i e s . I n l i n e P a r a m e t e r E n t i t y C o l l e c t i o n ` 1 [ [ I p h e l i o n . O u t l i n e . M o d e l . C o m m a n d s . F i e l d V a l u e P a r a m e t e r E n t i t y ,   I p h e l i o n . O u t l i n e . M o d e l ,   V e r s i o n = 1 . 7 . 0 . 3 6 ,   C u l t u r e = n e u t r a l ,   P u b l i c K e y T o k e n = n u l l ] ] ,   I p h e l i o n . O u t l i n e . M o d e l ,   V e r s i o n = 1 . 7 . 0 . 3 6 ,   C u l t u r e = n e u t r a l ,   P u b l i c K e y T o k e n = n u l l "   o r d e r = " 9 9 9 "   k e y = " f i e l d L i s t "   v a l u e = " & l t ; ? x m l   v e r s i o n = & q u o t ; 1 . 0 & q u o t ;   e n c o d i n g = & q u o t ; u t f - 1 6 & q u o t ; ? & g t ; & # x A ; & l t ; X m l P a r a m e t e r   x m l n s : x s i = & q u o t ; h t t p : / / w w w . w 3 . o r g / 2 0 0 1 / X M L S c h e m a - i n s t a n c e & q u o t ;   x m l n s : x s d = & q u o t ; h t t p : / / w w w . w 3 . o r g / 2 0 0 1 / X M L S c h e m a & q u o t ; & g t ; & # x A ;     & l t ; p a r a m e t e r E n t i t i e s & g t ; & # x A ;         & l t ; p a r a m e t e r E n t i t y   x s i : t y p e = & q u o t ; F i e l d V a l u e P a r a m e t e r E n t i t y & q u o t ;   k e y = & q u o t ; D M S . D o c S u b T y p e & q u o t ;   f i e l d = & q u o t ; 7 a b e a 0 f 8 - 4 6 b 7 - 4 9 6 8 - b b 1 2 - 0 4 a 8 9 9 f 0 d 7 7 8 | c d a 2 d 8 a e - 6 a 2 0 - 4 5 c 5 - b 6 9 c - c 5 3 d 1 4 1 4 f f 5 3 | D M S . D o c S u b T y p e & q u o t ;   i n d e x = & q u o t ; 0 & q u o t ;   a l l I n d e x e s = & q u o t ; f a l s e & q u o t ;   v a l u e = & q u o t ; & a m p ; l t ; ? x m l   v e r s i o n = & a m p ; q u o t ; 1 . 0 & a m p ; q u o t ;   e n c o d i n g = & a m p ; q u o t ; u t f - 1 6 & a m p ; q u o t ; ? & a m p ; g t ; & a m p ; # x D ; & a m p ; # x A ; & a m p ; l t ; l o c a l i z e d S t r i n g   x m l n s : x s i = & a m p ; q u o t ; h t t p : / / w w w . w 3 . o r g / 2 0 0 1 / X M L S c h e m a - i n s t a n c e & a m p ; q u o t ;   x m l n s : x s d = & a m p ; q u o t ; h t t p : / / w w w . w 3 . o r g / 2 0 0 1 / X M L S c h e m a & a m p ; q u o t ; & a m p ; g t ; & a m p ; # x D ; & a m p ; # x A ;     & a m p ; l t ; t y p e & a m p ; g t ; e x p r e s s i o n & a m p ; l t ; / t y p e & a m p ; g t ; & a m p ; # x D ; & a m p ; # x A ;     & a m p ; l t ; t e x t & a m p ; g t ; { D M S D o c T y p e . S e l e c t e d V a l u e } & a m p ; l t ; / t e x t & a m p ; g t ; & a m p ; # x D ; & a m p ; # x A ; & a m p ; l t ; / l o c a l i z e d S t r i n g & a m p ; g t ; & q u o t ;   f o r m a t = & q u o t ; & a m p ; l t ; ? x m l   v e r s i o n = & a m p ; q u o t ; 1 . 0 & a m p ; q u o t ;   e n c o d i n g = & a m p ; q u o t ; u t f - 1 6 & a m p ; q u o t ; ? & a m p ; g t ; & a m p ; # x D ; & a m p ; # x A ; & a m p ; l t ; l o c a l i z e d S t r i n g   x m l n s : x s i = & a m p ; q u o t ; h t t p : / / w w w . w 3 . o r g / 2 0 0 1 / X M L S c h e m a - i n s t a n c e & a m p ; q u o t ;   x m l n s : x s d = & a m p ; q u o t ; h t t p : / / w w w . w 3 . o r g / 2 0 0 1 / X M L S c h e m a & a m p ; q u o t ; & a m p ; g t ; & a m p ; # x D ; & a m p ; # x A ;     & a m p ; l t ; t y p e & a m p ; g t ; f i x e d & a m p ; l t ; / t y p e & a m p ; g t ; & a m p ; # x D ; & a m p ; # x A ;     & a m p ; l t ; t e x t   / & a m p ; g t ; & a m p ; # x D ; & a m p ; # x A ; & a m p ; l t ; / l o c a l i z e d S t r i n g & a m p ; g t ; & q u o t ;   / & g t ; & # x A ;     & l t ; / p a r a m e t e r E n t i t i e s & g t ; & # x A ; & l t ; / X m l P a r a m e t e r & g t ; "   g r o u p O r d e r = " - 1 " / >  
             < / p a r a m e t e r s >  
         < / c o m m a n d >  
         < c o m m a n d   i d = " 3 8 1 e 2 b 0 2 - 4 6 5 2 - 4 0 4 c - b 8 d 5 - a 0 8 0 9 3 d 4 2 c d 4 "   n a m e = " S e t   p a p e r   s i z e "   a s s e m b l y = " I p h e l i o n . O u t l i n e . W o r d . d l l "   t y p e = " I p h e l i o n . O u t l i n e . W o r d . C o m m a n d s . S e t P a p e r S i z e C o m m a n d "   o r d e r = " 3 "   a c t i v e = " t r u e "   c o m m a n d T y p e = " s t a r t u p " >  
             < p a r a m e t e r s >  
                 < p a r a m e t e r   i d = " d c 6 a a 5 7 d - e c 8 e - 4 9 8 c - b b b 3 - b e 3 4 c 6 f e 8 5 f f "   n a m e = " S e t   p a g e   h e i g h t "   t y p e = " S y s t e m . B o o l e a n ,   m s c o r l i b ,   V e r s i o n = 4 . 0 . 0 . 0 ,   C u l t u r e = n e u t r a l ,   P u b l i c K e y T o k e n = b 7 7 a 5 c 5 6 1 9 3 4 e 0 8 9 "   o r d e r = " 9 9 9 "   k e y = " s e t P a g e H e i g h t "   v a l u e = " T r u e "   g r o u p O r d e r = " - 1 " / >  
                 < p a r a m e t e r   i d = " 1 e c e 4 c 4 5 - e 7 4 9 - 4 1 b d - b 3 c 6 - 1 e 3 e b 3 9 1 6 3 9 d "   n a m e = " S e t   p a g e   w i d t h "   t y p e = " S y s t e m . B o o l e a n ,   m s c o r l i b ,   V e r s i o n = 4 . 0 . 0 . 0 ,   C u l t u r e = n e u t r a l ,   P u b l i c K e y T o k e n = b 7 7 a 5 c 5 6 1 9 3 4 e 0 8 9 "   o r d e r = " 9 9 9 "   k e y = " s e t P a g e W i d t h "   v a l u e = " T r u e "   g r o u p O r d e r = " - 1 " / >  
                 < p a r a m e t e r   i d = " 9 e 3 5 9 4 b 5 - 8 b 1 9 - 4 3 3 c - 9 a 6 b - 8 5 4 7 a 1 9 7 b a 0 9 "   n a m e = " S e t   t o p   m a r g i n "   t y p e = " S y s t e m . B o o l e a n ,   m s c o r l i b ,   V e r s i o n = 4 . 0 . 0 . 0 ,   C u l t u r e = n e u t r a l ,   P u b l i c K e y T o k e n = b 7 7 a 5 c 5 6 1 9 3 4 e 0 8 9 "   o r d e r = " 9 9 9 "   k e y = " s e t T o p M a r g i n "   v a l u e = " F a l s e "   g r o u p O r d e r = " - 1 " / >  
                 < p a r a m e t e r   i d = " 2 1 8 4 7 1 9 1 - d 4 9 e - 4 6 4 2 - 9 f 3 e - d 2 5 a e 9 b 4 9 9 0 7 "   n a m e = " S e t   b o t t o m   m a r g i n "   t y p e = " S y s t e m . B o o l e a n ,   m s c o r l i b ,   V e r s i o n = 4 . 0 . 0 . 0 ,   C u l t u r e = n e u t r a l ,   P u b l i c K e y T o k e n = b 7 7 a 5 c 5 6 1 9 3 4 e 0 8 9 "   o r d e r = " 9 9 9 "   k e y = " s e t B o t t o m M a r g i n "   v a l u e = " F a l s e "   g r o u p O r d e r = " - 1 " / >  
                 < p a r a m e t e r   i d = " 6 a 8 4 8 5 3 4 - 9 5 c 8 - 4 6 5 8 - 8 9 7 5 - 6 5 1 2 5 b 9 c 2 3 1 c "   n a m e = " S e t   l e f t   m a r g i n "   t y p e = " S y s t e m . B o o l e a n ,   m s c o r l i b ,   V e r s i o n = 4 . 0 . 0 . 0 ,   C u l t u r e = n e u t r a l ,   P u b l i c K e y T o k e n = b 7 7 a 5 c 5 6 1 9 3 4 e 0 8 9 "   o r d e r = " 9 9 9 "   k e y = " s e t L e f t M a r g i n "   v a l u e = " F a l s e "   g r o u p O r d e r = " - 1 " / >  
                 < p a r a m e t e r   i d = " c 3 b 3 c 0 c 9 - 7 b 2 6 - 4 4 7 1 - a 3 3 3 - 6 4 5 e f a b a 4 8 1 1 "   n a m e = " S e t   r i g h t   m a r g i n "   t y p e = " S y s t e m . B o o l e a n ,   m s c o r l i b ,   V e r s i o n = 4 . 0 . 0 . 0 ,   C u l t u r e = n e u t r a l ,   P u b l i c K e y T o k e n = b 7 7 a 5 c 5 6 1 9 3 4 e 0 8 9 "   o r d e r = " 9 9 9 "   k e y = " s e t R i g h t M a r g i n "   v a l u e = " F a l s e "   g r o u p O r d e r = " - 1 " / >  
             < / p a r a m e t e r s >  
         < / c o m m a n d >  
         < c o m m a n d   i d = " 3 5 2 3 d 0 2 e - 3 1 d 6 - 4 9 7 1 - 8 a 4 9 - e b 6 1 2 c b e b 5 4 a "   n a m e = " R e n d e r   f i e l d s   t o   d o c u m e n t "   a s s e m b l y = " I p h e l i o n . O u t l i n e . M o d e l . D L L "   t y p e = " I p h e l i o n . O u t l i n e . M o d e l . C o m m a n d s . R e n d e r D o c u m e n t C o m m a n d "   o r d e r = " 5 "   a c t i v e = " t r u e "   c o m m a n d T y p e = " s t a r t u p " >  
             < p a r a m e t e r s >  
                 < p a r a m e t e r   i d = " 1 3 0 9 4 c 9 4 - d 2 0 d - 4 5 6 c - b 3 d 0 - 5 6 3 d 1 4 1 9 7 b c 0 "   n a m e = " F i r s t   o r d e r   v a l u e "   t y p e = " S y s t e m . I n t 3 2 ,   m s c o r l i b ,   V e r s i o n = 4 . 0 . 0 . 0 ,   C u l t u r e = n e u t r a l ,   P u b l i c K e y T o k e n = b 7 7 a 5 c 5 6 1 9 3 4 e 0 8 9 "   o r d e r = " 9 9 9 "   k e y = " s t a r t O r d e r "   v a l u e = " 0 "   g r o u p O r d e r = " - 1 " / >  
                 < p a r a m e t e r   i d = " e a 2 d 0 3 7 0 - 6 f d 1 - 4 6 0 b - 9 e e 3 - 0 3 2 1 b 4 b 7 4 0 5 7 "   n a m e = " L a s t   o r d e r   v a l u e "   t y p e = " S y s t e m . I n t 3 2 ,   m s c o r l i b ,   V e r s i o n = 4 . 0 . 0 . 0 ,   C u l t u r e = n e u t r a l ,   P u b l i c K e y T o k e n = b 7 7 a 5 c 5 6 1 9 3 4 e 0 8 9 "   o r d e r = " 9 9 9 "   k e y = " e n d O r d e r "   v a l u e = " 5 "   g r o u p O r d e r = " - 1 " / >  
                 < p a r a m e t e r   i d = " f 9 0 4 3 5 9 0 - 8 0 b 2 - 4 7 b 8 - 9 a c 9 - e 5 2 8 5 b 4 a 9 b 4 6 "   n a m e = " E x c l u d e   i n a c t i v e   q u e s t i o n s "   t y p e = " S y s t e m . B o o l e a n ,   m s c o r l i b ,   V e r s i o n = 4 . 0 . 0 . 0 ,   C u l t u r e = n e u t r a l ,   P u b l i c K e y T o k e n = b 7 7 a 5 c 5 6 1 9 3 4 e 0 8 9 "   o r d e r = " 9 9 9 "   k e y = " e x c l u d e I n a c t i v e Q u e s t i o n s "   v a l u e = " F a l s e "   g r o u p O r d e r = " - 1 " / >  
             < / p a r a m e t e r s >  
         < / c o m m a n d >  
         < c o m m a n d   i d = " 1 f 4 0 6 b d 3 - 2 4 0 1 - 4 b 8 1 - 8 4 2 f - 3 c 2 e c f e a 9 0 d 3 "   n a m e = " S a v e   t o   W o r k S i t e "   a s s e m b l y = " I p h e l i o n . O u t l i n e . I n t e g r a t i o n . W o r k S i t e . d l l "   t y p e = " I p h e l i o n . O u t l i n e . I n t e g r a t i o n . W o r k S i t e . S a v e T o D m s C o m m a n d "   o r d e r = " 6 "   a c t i v e = " t r u e "   c o m m a n d T y p e = " s t a r t u p " >  
             < p a r a m e t e r s >  
                 < p a r a m e t e r   i d = " a d e 2 d 0 8 c - 6 8 0 4 - 4 f c b - a 8 b 0 - 5 2 a e c 4 6 1 5 b 1 a "   n a m e = " A u t h o r   F i e l d "   t y p e = " I p h e l i o n . O u t l i n e . M o d e l . E n t i t i e s . P a r a m e t e r F i e l d D e s c r i p t o r ,   I p h e l i o n . O u t l i n e . M o d e l ,   V e r s i o n = 1 . 7 . 0 . 3 6 ,   C u l t u r e = n e u t r a l ,   P u b l i c K e y T o k e n = n u l l "   o r d e r = " 9 9 9 "   k e y = " a u t h o r F i e l d "   v a l u e = " 0 8 3 d 5 a 5 f - 7 a 4 6 - 4 9 2 7 - a d 1 b - 2 e 7 1 0 3 f 3 6 8 b 1 | f 2 9 4 b 1 d 2 - 1 b 4 5 - 4 e 5 f - 9 4 c 4 - 2 9 5 3 e 5 1 5 0 1 3 7 | "   g r o u p O r d e r = " - 1 " / >  
                 < p a r a m e t e r   i d = " 2 a 5 d 7 7 8 8 - e b f 7 - 4 7 c 2 - a a 6 f - 5 a 6 b 0 8 5 1 3 2 3 e "   n a m e = " D e f a u l t   F o l d e r "   t y p e = " S y s t e m . S t r i n g ,   m s c o r l i b ,   V e r s i o n = 4 . 0 . 0 . 0 ,   C u l t u r e = n e u t r a l ,   P u b l i c K e y T o k e n = b 7 7 a 5 c 5 6 1 9 3 4 e 0 8 9 "   o r d e r = " 9 9 9 "   k e y = " d e f a u l t F o l d e r "   v a l u e = " "   g r o u p O r d e r = " - 1 " / >  
                 < p a r a m e t e r   i d = " a 6 c 2 7 2 0 2 - a c d 8 - 4 1 a 0 - 8 3 b 5 - 0 c d 9 7 7 e c 4 9 d 9 "   n a m e = " D o c u m e n t   t i t l e   f i e l d "   t y p e = " I p h e l i o n . O u t l i n e . M o d e l . E n t i t i e s . P a r a m e t e r F i e l d D e s c r i p t o r ,   I p h e l i o n . O u t l i n e . M o d e l ,   V e r s i o n = 1 . 7 . 0 . 3 6 ,   C u l t u r e = n e u t r a l ,   P u b l i c K e y T o k e n = n u l l "   o r d e r = " 9 9 9 "   k e y = " t i t l e F i e l d "   v a l u e = " "   g r o u p O r d e r = " - 1 " / >  
             < / p a r a m e t e r s >  
         < / c o m m a n d >  
         < c o m m a n d   i d = " 3 2 7 c d 3 a 5 - 1 e c b - 4 4 5 d - 9 7 d 5 - c 8 4 f f b 7 b 7 6 f 4 "   n a m e = " C l o s e   d o c u m e n t "   a s s e m b l y = " I p h e l i o n . O u t l i n e . W o r d . d l l "   t y p e = " I p h e l i o n . O u t l i n e . W o r d . C o m m a n d s . C l o s e D o c u m e n t C o m m a n d "   o r d e r = " 7 "   a c t i v e = " t r u e "   c o m m a n d T y p e = " s t a r t u p " >  
             < p a r a m e t e r s >  
                 < p a r a m e t e r   i d = " 4 a 2 a d f e 2 - 0 2 d 2 - 4 d 1 6 - 8 a a 5 - 6 3 1 8 6 8 b c c 7 b 7 "   n a m e = " C h e c k   q u e s t i o n "   t y p e = " S y s t e m . B o o l e a n ,   m s c o r l i b ,   V e r s i o n = 4 . 0 . 0 . 0 ,   C u l t u r e = n e u t r a l ,   P u b l i c K e y T o k e n = b 7 7 a 5 c 5 6 1 9 3 4 e 0 8 9 "   o r d e r = " 9 9 9 "   k e y = " c h e c k U s e r I n p u t "   v a l u e = " F a l s e "   g r o u p O r d e r = " - 1 " / >  
                 < p a r a m e t e r   i d = " 4 9 6 5 0 d 0 e - 6 c 9 e - 4 3 b c - a 8 9 e - 5 d 1 8 f e 7 7 8 1 6 1 "   n a m e = " F o r c e   c l o s e "   t y p e = " S y s t e m . B o o l e a n ,   m s c o r l i b ,   V e r s i o n = 4 . 0 . 0 . 0 ,   C u l t u r e = n e u t r a l ,   P u b l i c K e y T o k e n = b 7 7 a 5 c 5 6 1 9 3 4 e 0 8 9 "   o r d e r = " 9 9 9 "   k e y = " c l o s e O n S u c e s s "   v a l u e = " F a l s e "   g r o u p O r d e r = " - 1 " / >  
             < / p a r a m e t e r s >  
         < / c o m m a n d >  
         < c o m m a n d   i d = " f 6 e 9 d 2 f b - b d c 2 - 4 3 3 c - 9 3 4 b - 3 5 9 2 1 0 8 6 a 1 d e "   n a m e = " S h o w   q u e s t i o n   f o r m "   a s s e m b l y = " I p h e l i o n . O u t l i n e . M o d e l . D L L "   t y p e = " I p h e l i o n . O u t l i n e . M o d e l . C o m m a n d s . S h o w F o r m C o m m a n d "   o r d e r = " 0 "   a c t i v e = " t r u e "   c o m m a n d T y p e = " r e l a u n c h " >  
             < p a r a m e t e r s >  
                 < p a r a m e t e r   i d = " a f 8 a 5 3 8 3 - b 3 e f - 4 1 d c - 9 6 d 5 - 5 7 4 3 0 2 6 4 8 d b e "   n a m e = " A s s e m b l y   n a m e "   t y p e = " S y s t e m . S t r i n g ,   m s c o r l i b ,   V e r s i o n = 4 . 0 . 0 . 0 ,   C u l t u r e = n e u t r a l ,   P u b l i c K e y T o k e n = b 7 7 a 5 c 5 6 1 9 3 4 e 0 8 9 "   o r d e r = " 9 9 9 "   k e y = " a s s e m b l y "   v a l u e = " I p h e l i o n . O u t l i n e . C o n t r o l s . d l l "   g r o u p O r d e r = " - 1 " / >  
                 < p a r a m e t e r   i d = " 3 2 3 4 5 8 d a - a d 2 2 - 4 9 f f - 9 8 2 e - 7 2 7 c 7 c f d 1 d e 5 "   n a m e = " T y p e   n a m e "   t y p e = " S y s t e m . S t r i n g ,   m s c o r l i b ,   V e r s i o n = 4 . 0 . 0 . 0 ,   C u l t u r e = n e u t r a l ,   P u b l i c K e y T o k e n = b 7 7 a 5 c 5 6 1 9 3 4 e 0 8 9 "   o r d e r = " 9 9 9 "   k e y = " t y p e "   v a l u e = " I p h e l i o n . O u t l i n e . C o n t r o l s . Q u e s t i o n F o r m "   g r o u p O r d e r = " - 1 " / >  
             < / p a r a m e t e r s >  
         < / c o m m a n d >  
         < c o m m a n d   i d = " c 0 e e e 5 4 8 - 2 7 0 c - 4 a 2 4 - 9 c 9 1 - c a 7 5 1 7 0 d 4 7 8 8 "   n a m e = " R e n d e r   f i e l d s   t o   d o c u m e n t "   a s s e m b l y = " I p h e l i o n . O u t l i n e . M o d e l . D L L "   t y p e = " I p h e l i o n . O u t l i n e . M o d e l . C o m m a n d s . R e n d e r D o c u m e n t C o m m a n d "   o r d e r = " 1 "   a c t i v e = " t r u e "   c o m m a n d T y p e = " r e l a u n c h " >  
             < p a r a m e t e r s >  
                 < p a r a m e t e r   i d = " f a b 4 b 0 1 c - 4 d 2 8 - 4 5 a 4 - b 8 1 f - b 0 d 1 6 c d a 4 c 9 4 "   n a m e = " F i r s t   o r d e r   v a l u e "   t y p e = " S y s t e m . I n t 3 2 ,   m s c o r l i b ,   V e r s i o n = 4 . 0 . 0 . 0 ,   C u l t u r e = n e u t r a l ,   P u b l i c K e y T o k e n = b 7 7 a 5 c 5 6 1 9 3 4 e 0 8 9 "   o r d e r = " 9 9 9 "   k e y = " s t a r t O r d e r "   v a l u e = " 0 "   g r o u p O r d e r = " - 1 " / >  
                 < p a r a m e t e r   i d = " 2 b f 8 f c a 7 - 1 5 7 6 - 4 7 f 8 - b d c 6 - e 0 d d 5 8 0 3 0 e 9 7 "   n a m e = " L a s t   o r d e r   v a l u e "   t y p e = " S y s t e m . I n t 3 2 ,   m s c o r l i b ,   V e r s i o n = 4 . 0 . 0 . 0 ,   C u l t u r e = n e u t r a l ,   P u b l i c K e y T o k e n = b 7 7 a 5 c 5 6 1 9 3 4 e 0 8 9 "   o r d e r = " 9 9 9 "   k e y = " e n d O r d e r "   v a l u e = " 5 "   g r o u p O r d e r = " - 1 " / >  
                 < p a r a m e t e r   i d = " f 9 0 4 3 5 9 0 - 8 0 b 2 - 4 7 b 8 - 9 a c 9 - e 5 2 8 5 b 4 a 9 b 4 6 "   n a m e = " E x c l u d e   i n a c t i v e   q u e s t i o n s "   t y p e = " S y s t e m . B o o l e a n ,   m s c o r l i b ,   V e r s i o n = 4 . 0 . 0 . 0 ,   C u l t u r e = n e u t r a l ,   P u b l i c K e y T o k e n = b 7 7 a 5 c 5 6 1 9 3 4 e 0 8 9 "   o r d e r = " 9 9 9 "   k e y = " e x c l u d e I n a c t i v e Q u e s t i o n s "   v a l u e = " F a l s e "   g r o u p O r d e r = " - 1 " / >  
             < / p a r a m e t e r s >  
         < / c o m m a n d >  
         < c o m m a n d   i d = " 9 c 3 e 3 4 8 f - 9 b 7 c - 4 1 7 2 - a 8 b f - 3 8 2 3 9 3 7 2 6 c 9 f "   n a m e = " U p d a t e   W o r k S i t e   a u t h o r "   a s s e m b l y = " I p h e l i o n . O u t l i n e . I n t e g r a t i o n . W o r k S i t e . d l l "   t y p e = " I p h e l i o n . O u t l i n e . I n t e g r a t i o n . W o r k S i t e . U p d a t e A u t h o r C o m m a n d "   o r d e r = " 2 "   a c t i v e = " t r u e "   c o m m a n d T y p e = " r e l a u n c h " >  
             < p a r a m e t e r s >  
                 < p a r a m e t e r   i d = " e 9 4 b f 6 3 2 - c 5 4 4 - 4 1 e f - b 4 1 2 - e 7 2 6 4 1 f 1 8 e e e "   n a m e = " A u t h o r   F i e l d "   t y p e = " I p h e l i o n . O u t l i n e . M o d e l . E n t i t i e s . P a r a m e t e r F i e l d D e s c r i p t o r ,   I p h e l i o n . O u t l i n e . M o d e l ,   V e r s i o n = 1 . 7 . 0 . 3 6 ,   C u l t u r e = n e u t r a l ,   P u b l i c K e y T o k e n = n u l l "   o r d e r = " 9 9 9 "   k e y = " a u t h o r F i e l d "   v a l u e = " 0 8 3 d 5 a 5 f - 7 a 4 6 - 4 9 2 7 - a d 1 b - 2 e 7 1 0 3 f 3 6 8 b 1 | f 2 9 4 b 1 d 2 - 1 b 4 5 - 4 e 5 f - 9 4 c 4 - 2 9 5 3 e 5 1 5 0 1 3 7 | "   g r o u p O r d e r = " - 1 " / >  
             < / p a r a m e t e r s >  
         < / c o m m a n d >  
         < c o m m a n d   i d = " 5 3 a 3 f e 1 f - 5 c 7 8 - 4 b 5 2 - 8 1 e e - 4 c 9 1 3 b 8 e d 5 e e "   n a m e = " S e t   p a p e r   s i z e "   a s s e m b l y = " I p h e l i o n . O u t l i n e . W o r d . d l l "   t y p e = " I p h e l i o n . O u t l i n e . W o r d . C o m m a n d s . S e t P a p e r S i z e C o m m a n d "   o r d e r = " 3 "   a c t i v e = " t r u e "   c o m m a n d T y p e = " r e l a u n c h " >  
             < p a r a m e t e r s >  
                 < p a r a m e t e r   i d = " d c 6 a a 5 7 d - e c 8 e - 4 9 8 c - b b b 3 - b e 3 4 c 6 f e 8 5 f f "   n a m e = " S e t   p a g e   h e i g h t "   t y p e = " S y s t e m . B o o l e a n ,   m s c o r l i b ,   V e r s i o n = 4 . 0 . 0 . 0 ,   C u l t u r e = n e u t r a l ,   P u b l i c K e y T o k e n = b 7 7 a 5 c 5 6 1 9 3 4 e 0 8 9 "   o r d e r = " 9 9 9 "   k e y = " s e t P a g e H e i g h t "   v a l u e = " T r u e "   g r o u p O r d e r = " - 1 " / >  
                 < p a r a m e t e r   i d = " 1 e c e 4 c 4 5 - e 7 4 9 - 4 1 b d - b 3 c 6 - 1 e 3 e b 3 9 1 6 3 9 d "   n a m e = " S e t   p a g e   w i d t h "   t y p e = " S y s t e m . B o o l e a n ,   m s c o r l i b ,   V e r s i o n = 4 . 0 . 0 . 0 ,   C u l t u r e = n e u t r a l ,   P u b l i c K e y T o k e n = b 7 7 a 5 c 5 6 1 9 3 4 e 0 8 9 "   o r d e r = " 9 9 9 "   k e y = " s e t P a g e W i d t h "   v a l u e = " T r u e "   g r o u p O r d e r = " - 1 " / >  
                 < p a r a m e t e r   i d = " 9 e 3 5 9 4 b 5 - 8 b 1 9 - 4 3 3 c - 9 a 6 b - 8 5 4 7 a 1 9 7 b a 0 9 "   n a m e = " S e t   t o p   m a r g i n "   t y p e = " S y s t e m . B o o l e a n ,   m s c o r l i b ,   V e r s i o n = 4 . 0 . 0 . 0 ,   C u l t u r e = n e u t r a l ,   P u b l i c K e y T o k e n = b 7 7 a 5 c 5 6 1 9 3 4 e 0 8 9 "   o r d e r = " 9 9 9 "   k e y = " s e t T o p M a r g i n "   v a l u e = " F a l s e "   g r o u p O r d e r = " - 1 " / >  
                 < p a r a m e t e r   i d = " 2 1 8 4 7 1 9 1 - d 4 9 e - 4 6 4 2 - 9 f 3 e - d 2 5 a e 9 b 4 9 9 0 7 "   n a m e = " S e t   b o t t o m   m a r g i n "   t y p e = " S y s t e m . B o o l e a n ,   m s c o r l i b ,   V e r s i o n = 4 . 0 . 0 . 0 ,   C u l t u r e = n e u t r a l ,   P u b l i c K e y T o k e n = b 7 7 a 5 c 5 6 1 9 3 4 e 0 8 9 "   o r d e r = " 9 9 9 "   k e y = " s e t B o t t o m M a r g i n "   v a l u e = " F a l s e "   g r o u p O r d e r = " - 1 " / >  
                 < p a r a m e t e r   i d = " 6 a 8 4 8 5 3 4 - 9 5 c 8 - 4 6 5 8 - 8 9 7 5 - 6 5 1 2 5 b 9 c 2 3 1 c "   n a m e = " S e t   l e f t   m a r g i n "   t y p e = " S y s t e m . B o o l e a n ,   m s c o r l i b ,   V e r s i o n = 4 . 0 . 0 . 0 ,   C u l t u r e = n e u t r a l ,   P u b l i c K e y T o k e n = b 7 7 a 5 c 5 6 1 9 3 4 e 0 8 9 "   o r d e r = " 9 9 9 "   k e y = " s e t L e f t M a r g i n "   v a l u e = " F a l s e "   g r o u p O r d e r = " - 1 " / >  
                 < p a r a m e t e r   i d = " c 3 b 3 c 0 c 9 - 7 b 2 6 - 4 4 7 1 - a 3 3 3 - 6 4 5 e f a b a 4 8 1 1 "   n a m e = " S e t   r i g h t   m a r g i n "   t y p e = " S y s t e m . B o o l e a n ,   m s c o r l i b ,   V e r s i o n = 4 . 0 . 0 . 0 ,   C u l t u r e = n e u t r a l ,   P u b l i c K e y T o k e n = b 7 7 a 5 c 5 6 1 9 3 4 e 0 8 9 "   o r d e r = " 9 9 9 "   k e y = " s e t R i g h t M a r g i n "   v a l u e = " F a l s e "   g r o u p O r d e r = " - 1 " / >  
             < / p a r a m e t e r s >  
         < / c o m m a n d >  
     < / c o m m a n d s >  
     < f i e l d s >  
         < f i e l d   i d = " a f 0 2 0 c 1 a - f 8 2 6 - 4 9 4 c - b b a a - 2 1 0 0 b 3 9 7 7 0 a 7 "   n a m e = " C l i e n t "   t y p e = " "   o r d e r = " 9 9 9 "   e n t i t y I d = " c d a 2 d 8 a e - 6 a 2 0 - 4 5 c 5 - b 6 9 c - c 5 3 d 1 4 1 4 f f 5 3 "   l i n k e d E n t i t y I d = " 0 0 0 0 0 0 0 0 - 0 0 0 0 - 0 0 0 0 - 0 0 0 0 - 0 0 0 0 0 0 0 0 0 0 0 0 "   l i n k e d F i e l d I d = " 0 0 0 0 0 0 0 0 - 0 0 0 0 - 0 0 0 0 - 0 0 0 0 - 0 0 0 0 0 0 0 0 0 0 0 0 "   l i n k e d F i e l d I n d e x = " 0 "   i n d e x = " 0 "   f i e l d T y p e = " q u e s t i o n "   f o r m a t E v a l u a t o r T y p e = " f o r m a t S t r i n g "   c o i D o c u m e n t F i e l d = " C l i e n t "   h i d d e n = " f a l s e " > 3 0 0 0 0 1 < / f i e l d >  
         < f i e l d   i d = " d 1 a 0 c 0 3 d - 0 2 5 8 - 4 7 a c - b b 6 d - 4 5 8 a 7 8 e 5 6 4 7 4 "   n a m e = " C l i e n t N a m e "   t y p e = " "   o r d e r = " 9 9 9 "   e n t i t y I d = " c d a 2 d 8 a e - 6 a 2 0 - 4 5 c 5 - b 6 9 c - c 5 3 d 1 4 1 4 f f 5 3 "   l i n k e d E n t i t y I d = " 0 0 0 0 0 0 0 0 - 0 0 0 0 - 0 0 0 0 - 0 0 0 0 - 0 0 0 0 0 0 0 0 0 0 0 0 "   l i n k e d F i e l d I d = " 0 0 0 0 0 0 0 0 - 0 0 0 0 - 0 0 0 0 - 0 0 0 0 - 0 0 0 0 0 0 0 0 0 0 0 0 "   l i n k e d F i e l d I n d e x = " 0 "   i n d e x = " 0 "   f i e l d T y p e = " q u e s t i o n "   f o r m a t E v a l u a t o r T y p e = " f o r m a t S t r i n g "   c o i D o c u m e n t F i e l d = " C l i e n t N a m e "   h i d d e n = " f a l s e " > A & a m p ; L   G o o d b o d y < / f i e l d >  
         < f i e l d   i d = " 3 6 2 d d c e b - 8 f c 2 - 4 e a d - b 5 3 5 - e d 9 e 8 3 5 9 8 3 8 4 "   n a m e = " M a t t e r "   t y p e = " "   o r d e r = " 9 9 9 "   e n t i t y I d = " c d a 2 d 8 a e - 6 a 2 0 - 4 5 c 5 - b 6 9 c - c 5 3 d 1 4 1 4 f f 5 3 "   l i n k e d E n t i t y I d = " 0 0 0 0 0 0 0 0 - 0 0 0 0 - 0 0 0 0 - 0 0 0 0 - 0 0 0 0 0 0 0 0 0 0 0 0 "   l i n k e d F i e l d I d = " 0 0 0 0 0 0 0 0 - 0 0 0 0 - 0 0 0 0 - 0 0 0 0 - 0 0 0 0 0 0 0 0 0 0 0 0 "   l i n k e d F i e l d I n d e x = " 0 "   i n d e x = " 0 "   f i e l d T y p e = " q u e s t i o n "   f o r m a t E v a l u a t o r T y p e = " f o r m a t S t r i n g "   c o i D o c u m e n t F i e l d = " M a t t e r "   h i d d e n = " f a l s e " > 0 1 4 1 9 8 8 7 < / f i e l d >  
         < f i e l d   i d = " a 3 e e f 5 1 4 - 2 4 7 f - 4 2 8 1 - b 6 a 2 - 3 b 4 d 3 4 b c 6 8 c f "   n a m e = " M a t t e r N a m e "   t y p e = " "   o r d e r = " 9 9 9 "   e n t i t y I d = " c d a 2 d 8 a e - 6 a 2 0 - 4 5 c 5 - b 6 9 c - c 5 3 d 1 4 1 4 f f 5 3 "   l i n k e d E n t i t y I d = " 0 0 0 0 0 0 0 0 - 0 0 0 0 - 0 0 0 0 - 0 0 0 0 - 0 0 0 0 0 0 0 0 0 0 0 0 "   l i n k e d F i e l d I d = " 0 0 0 0 0 0 0 0 - 0 0 0 0 - 0 0 0 0 - 0 0 0 0 - 0 0 0 0 0 0 0 0 0 0 0 0 "   l i n k e d F i e l d I n d e x = " 0 "   i n d e x = " 0 "   f i e l d T y p e = " q u e s t i o n "   f o r m a t E v a l u a t o r T y p e = " f o r m a t S t r i n g "   c o i D o c u m e n t F i e l d = " M a t t e r N a m e "   h i d d e n = " f a l s e " > B u s D e v   -   R e g u l a t o r y   R i s k s   a n d   I n v e s t i g a t i o n s   G r o u p < / f i e l d >  
         < f i e l d   i d = " 9 a 9 2 6 9 a e - 1 d 5 b - 4 3 6 5 - 9 d a 1 - 6 3 7 c 5 f 3 3 0 a 8 f "   n a m e = " A u t h o r "   t y p e = " "   o r d e r = " 9 9 9 "   e n t i t y I d = " c d a 2 d 8 a e - 6 a 2 0 - 4 5 c 5 - b 6 9 c - c 5 3 d 1 4 1 4 f f 5 3 "   l i n k e d E n t i t y I d = " 0 0 0 0 0 0 0 0 - 0 0 0 0 - 0 0 0 0 - 0 0 0 0 - 0 0 0 0 0 0 0 0 0 0 0 0 "   l i n k e d F i e l d I d = " 0 0 0 0 0 0 0 0 - 0 0 0 0 - 0 0 0 0 - 0 0 0 0 - 0 0 0 0 0 0 0 0 0 0 0 0 "   l i n k e d F i e l d I n d e x = " 0 "   i n d e x = " 0 "   f i e l d T y p e = " q u e s t i o n "   f o r m a t E v a l u a t o r T y p e = " f o r m a t S t r i n g "   h i d d e n = " f a l s e " > C D O R A N < / f i e l d >  
         < f i e l d   i d = " a 0 0 2 e 7 8 a - 8 e 1 8 - 4 3 7 5 - b e f 7 - 9 f 6 8 7 e 9 3 1 f 6 5 "   n a m e = " T i t l e "   t y p e = " "   o r d e r = " 9 9 9 "   e n t i t y I d = " c d a 2 d 8 a e - 6 a 2 0 - 4 5 c 5 - b 6 9 c - c 5 3 d 1 4 1 4 f f 5 3 "   l i n k e d E n t i t y I d = " 0 0 0 0 0 0 0 0 - 0 0 0 0 - 0 0 0 0 - 0 0 0 0 - 0 0 0 0 0 0 0 0 0 0 0 0 "   l i n k e d F i e l d I d = " 0 0 0 0 0 0 0 0 - 0 0 0 0 - 0 0 0 0 - 0 0 0 0 - 0 0 0 0 0 0 0 0 0 0 0 0 "   l i n k e d F i e l d I n d e x = " 0 "   i n d e x = " 0 "   f i e l d T y p e = " q u e s t i o n "   f o r m a t E v a l u a t o r T y p e = " f o r m a t S t r i n g "   h i d d e n = " f a l s e " > C O V I D - 1 9 :   T a b l e   o f   F i n a n c i a l   R e g u l a t o r s '   S t a t e m e n t s < / f i e l d >  
         < f i e l d   i d = " 6 4 f f 0 0 3 6 - a 6 a f - 4 b 1 1 - a 4 e a - 4 0 2 a 2 f 2 7 3 e 2 1 "   n a m e = " D o c T y p e "   t y p e = " "   o r d e r = " 9 9 9 "   e n t i t y I d = " c d a 2 d 8 a e - 6 a 2 0 - 4 5 c 5 - b 6 9 c - c 5 3 d 1 4 1 4 f f 5 3 "   l i n k e d E n t i t y I d = " 0 0 0 0 0 0 0 0 - 0 0 0 0 - 0 0 0 0 - 0 0 0 0 - 0 0 0 0 0 0 0 0 0 0 0 0 "   l i n k e d F i e l d I d = " 0 0 0 0 0 0 0 0 - 0 0 0 0 - 0 0 0 0 - 0 0 0 0 - 0 0 0 0 0 0 0 0 0 0 0 0 "   l i n k e d F i e l d I n d e x = " 0 "   i n d e x = " 0 "   f i e l d T y p e = " q u e s t i o n "   f o r m a t E v a l u a t o r T y p e = " f o r m a t S t r i n g "   h i d d e n = " f a l s e " > L I T < / f i e l d >  
         < f i e l d   i d = " 7 a b e a 0 f 8 - 4 6 b 7 - 4 9 6 8 - b b 1 2 - 0 4 a 8 9 9 f 0 d 7 7 8 "   n a m e = " D o c S u b T y p e "   t y p e = " "   o r d e r = " 9 9 9 "   e n t i t y I d = " c d a 2 d 8 a e - 6 a 2 0 - 4 5 c 5 - b 6 9 c - c 5 3 d 1 4 1 4 f f 5 3 "   l i n k e d E n t i t y I d = " 0 0 0 0 0 0 0 0 - 0 0 0 0 - 0 0 0 0 - 0 0 0 0 - 0 0 0 0 0 0 0 0 0 0 0 0 "   l i n k e d F i e l d I d = " 0 0 0 0 0 0 0 0 - 0 0 0 0 - 0 0 0 0 - 0 0 0 0 - 0 0 0 0 0 0 0 0 0 0 0 0 "   l i n k e d F i e l d I n d e x = " 0 "   i n d e x = " 0 "   f i e l d T y p e = " q u e s t i o n "   f o r m a t E v a l u a t o r T y p e = " f o r m a t S t r i n g "   h i d d e n = " f a l s e " > G N < / f i e l d >  
         < f i e l d   i d = " 0 1 a 5 9 1 9 e - 9 f 8 0 - 4 7 f 4 - 9 3 c 4 - a 9 7 8 7 8 0 8 8 c 9 c "   n a m e = " S e r v e r "   t y p e = " "   o r d e r = " 9 9 9 "   e n t i t y I d = " c d a 2 d 8 a e - 6 a 2 0 - 4 5 c 5 - b 6 9 c - c 5 3 d 1 4 1 4 f f 5 3 "   l i n k e d E n t i t y I d = " 0 0 0 0 0 0 0 0 - 0 0 0 0 - 0 0 0 0 - 0 0 0 0 - 0 0 0 0 0 0 0 0 0 0 0 0 "   l i n k e d F i e l d I d = " 0 0 0 0 0 0 0 0 - 0 0 0 0 - 0 0 0 0 - 0 0 0 0 - 0 0 0 0 0 0 0 0 0 0 0 0 "   l i n k e d F i e l d I n d e x = " 0 "   i n d e x = " 0 "   f i e l d T y p e = " q u e s t i o n "   f o r m a t E v a l u a t o r T y p e = " f o r m a t S t r i n g "   h i d d e n = " f a l s e " > A L G D M S < / f i e l d >  
         < f i e l d   i d = " 2 f e f 3 f 1 9 - 2 3 2 d - 4 1 4 2 - b 5 2 5 - 1 1 d 8 a 7 6 a 6 e 9 b "   n a m e = " L i b r a r y "   t y p e = " "   o r d e r = " 9 9 9 "   e n t i t y I d = " c d a 2 d 8 a e - 6 a 2 0 - 4 5 c 5 - b 6 9 c - c 5 3 d 1 4 1 4 f f 5 3 "   l i n k e d E n t i t y I d = " 0 0 0 0 0 0 0 0 - 0 0 0 0 - 0 0 0 0 - 0 0 0 0 - 0 0 0 0 0 0 0 0 0 0 0 0 "   l i n k e d F i e l d I d = " 0 0 0 0 0 0 0 0 - 0 0 0 0 - 0 0 0 0 - 0 0 0 0 - 0 0 0 0 0 0 0 0 0 0 0 0 "   l i n k e d F i e l d I n d e x = " 0 "   i n d e x = " 0 "   f i e l d T y p e = " q u e s t i o n "   f o r m a t E v a l u a t o r T y p e = " f o r m a t S t r i n g "   h i d d e n = " f a l s e " > M A I N < / f i e l d >  
         < f i e l d   i d = " 3 8 8 a 1 e 1 3 - 9 9 7 8 - 4 5 4 7 - 8 c 3 9 - 2 9 b 8 9 a 1 1 d 7 2 a "   n a m e = " W o r k s p a c e I d "   t y p e = " "   o r d e r = " 9 9 9 "   e n t i t y I d = " c d a 2 d 8 a e - 6 a 2 0 - 4 5 c 5 - b 6 9 c - c 5 3 d 1 4 1 4 f f 5 3 "   l i n k e d E n t i t y I d = " 0 0 0 0 0 0 0 0 - 0 0 0 0 - 0 0 0 0 - 0 0 0 0 - 0 0 0 0 0 0 0 0 0 0 0 0 "   l i n k e d F i e l d I d = " 0 0 0 0 0 0 0 0 - 0 0 0 0 - 0 0 0 0 - 0 0 0 0 - 0 0 0 0 0 0 0 0 0 0 0 0 "   l i n k e d F i e l d I n d e x = " 0 "   i n d e x = " 0 "   f i e l d T y p e = " q u e s t i o n "   f o r m a t E v a l u a t o r T y p e = " f o r m a t S t r i n g "   h i d d e n = " f a l s e " > 2 4 4 5 9 8 4 < / f i e l d >  
         < f i e l d   i d = " d 8 d 8 a 1 b 7 - 2 9 f 2 - 4 1 8 4 - b 4 b b - 9 4 e 8 6 8 1 1 b 1 d c "   n a m e = " D o c F o l d e r I d "   t y p e = " "   o r d e r = " 9 9 9 "   e n t i t y I d = " c d a 2 d 8 a e - 6 a 2 0 - 4 5 c 5 - b 6 9 c - c 5 3 d 1 4 1 4 f f 5 3 "   l i n k e d E n t i t y I d = " 0 0 0 0 0 0 0 0 - 0 0 0 0 - 0 0 0 0 - 0 0 0 0 - 0 0 0 0 0 0 0 0 0 0 0 0 "   l i n k e d F i e l d I d = " 0 0 0 0 0 0 0 0 - 0 0 0 0 - 0 0 0 0 - 0 0 0 0 - 0 0 0 0 0 0 0 0 0 0 0 0 "   l i n k e d F i e l d I n d e x = " 0 "   i n d e x = " 0 "   f i e l d T y p e = " q u e s t i o n "   f o r m a t E v a l u a t o r T y p e = " f o r m a t S t r i n g "   h i d d e n = " f a l s e " > 2 4 4 5 9 8 5 < / f i e l d >  
         < f i e l d   i d = " a 1 f 2 3 1 e a - a 0 0 f - 4 6 0 6 - 9 f a b - d 2 a c d 8 5 9 d 3 a d "   n a m e = " D o c N u m b e r "   t y p e = " "   o r d e r = " 9 9 9 "   e n t i t y I d = " c d a 2 d 8 a e - 6 a 2 0 - 4 5 c 5 - b 6 9 c - c 5 3 d 1 4 1 4 f f 5 3 "   l i n k e d E n t i t y I d = " 0 0 0 0 0 0 0 0 - 0 0 0 0 - 0 0 0 0 - 0 0 0 0 - 0 0 0 0 0 0 0 0 0 0 0 0 "   l i n k e d F i e l d I d = " 0 0 0 0 0 0 0 0 - 0 0 0 0 - 0 0 0 0 - 0 0 0 0 - 0 0 0 0 0 0 0 0 0 0 0 0 "   l i n k e d F i e l d I n d e x = " 0 "   i n d e x = " 0 "   f i e l d T y p e = " q u e s t i o n "   f o r m a t E v a l u a t o r T y p e = " f o r m a t S t r i n g "   h i d d e n = " f a l s e " > 5 2 6 7 5 6 5 6 < / f i e l d >  
         < f i e l d   i d = " c 9 0 9 4 b 9 c - 5 2 f d - 4 4 0 3 - b b 8 3 - 9 b b 3 a b 5 3 6 8 a d "   n a m e = " D o c V e r s i o n "   t y p e = " "   o r d e r = " 9 9 9 "   e n t i t y I d = " c d a 2 d 8 a e - 6 a 2 0 - 4 5 c 5 - b 6 9 c - c 5 3 d 1 4 1 4 f f 5 3 "   l i n k e d E n t i t y I d = " 0 0 0 0 0 0 0 0 - 0 0 0 0 - 0 0 0 0 - 0 0 0 0 - 0 0 0 0 0 0 0 0 0 0 0 0 "   l i n k e d F i e l d I d = " 0 0 0 0 0 0 0 0 - 0 0 0 0 - 0 0 0 0 - 0 0 0 0 - 0 0 0 0 0 0 0 0 0 0 0 0 "   l i n k e d F i e l d I n d e x = " 0 "   i n d e x = " 0 "   f i e l d T y p e = " q u e s t i o n "   f o r m a t E v a l u a t o r T y p e = " f o r m a t S t r i n g "   h i d d e n = " f a l s e " > 2 < / f i e l d >  
         < f i e l d   i d = " 7 2 9 0 4 a 4 7 - 5 7 8 0 - 4 5 9 c - b e 7 a - 4 4 8 f 9 a d 8 d 6 b 4 "   n a m e = " D o c I d F o r m a t "   t y p e = " "   o r d e r = " 9 9 9 "   e n t i t y I d = " c d a 2 d 8 a e - 6 a 2 0 - 4 5 c 5 - b 6 9 c - c 5 3 d 1 4 1 4 f f 5 3 "   l i n k e d E n t i t y I d = " c d a 2 d 8 a e - 6 a 2 0 - 4 5 c 5 - b 6 9 c - c 5 3 d 1 4 1 4 f f 5 3 "   l i n k e d F i e l d I d = " 0 0 0 0 0 0 0 0 - 0 0 0 0 - 0 0 0 0 - 0 0 0 0 - 0 0 0 0 0 0 0 0 0 0 0 0 "   l i n k e d F i e l d I n d e x = " 0 "   i n d e x = " 0 "   f i e l d T y p e = " q u e s t i o n "   f o r m a t = " I F N O T E M P T Y ( { D M S . D o c N u m b e r } , & # x A ;   U P P E R ( L E F T ( { D M S . L i b r a r y } , 1 ) )   & a m p ;   { L a b e l s . D o c I D   s e p a r a t o r }   & a m p ;   { D M S . D o c N u m b e r }   & a m p ;   { L a b e l s . D o c I D   s e p a r a t o r }   & a m p ;   { D M S . D o c V e r s i o n } , & # x A ; & q u o t ; & q u o t ; ) & # x A ; & # x A ; "   f o r m a t E v a l u a t o r T y p e = " e x p r e s s i o n "   h i d d e n = " f a l s e " / >  
         < f i e l d   i d = " 9 0 1 6 3 5 3 d - 0 a b 3 - 4 5 1 f - 9 8 2 8 - 3 f e e 9 6 c f 6 8 b a "   n a m e = " C o n n e c t e d "   t y p e = " S y s t e m . B o o l e a n ,   m s c o r l i b ,   V e r s i o n = 4 . 0 . 0 . 0 ,   C u l t u r e = n e u t r a l ,   P u b l i c K e y T o k e n = b 7 7 a 5 c 5 6 1 9 3 4 e 0 8 9 "   o r d e r = " 9 9 9 "   e n t i t y I d = " c d a 2 d 8 a e - 6 a 2 0 - 4 5 c 5 - b 6 9 c - c 5 3 d 1 4 1 4 f f 5 3 "   l i n k e d E n t i t y I d = " 0 0 0 0 0 0 0 0 - 0 0 0 0 - 0 0 0 0 - 0 0 0 0 - 0 0 0 0 0 0 0 0 0 0 0 0 "   l i n k e d F i e l d I d = " 0 0 0 0 0 0 0 0 - 0 0 0 0 - 0 0 0 0 - 0 0 0 0 - 0 0 0 0 0 0 0 0 0 0 0 0 "   l i n k e d F i e l d I n d e x = " 0 "   i n d e x = " 0 "   f i e l d T y p e = " q u e s t i o n "   f o r m a t E v a l u a t o r T y p e = " f o r m a t S t r i n g "   h i d d e n = " f a l s e " > T r u e < / f i e l d >  
         < f i e l d   i d = " 2 4 0 3 d 3 4 2 - 5 3 3 b - 4 5 e 7 - 8 4 b 2 - 6 2 d 6 8 1 2 9 0 4 8 5 "   n a m e = " C r e a t e   n e w   v e r s i o n "   t y p e = " S y s t e m . B o o l e a n ,   m s c o r l i b ,   V e r s i o n = 4 . 0 . 0 . 0 ,   C u l t u r e = n e u t r a l ,   P u b l i c K e y T o k e n = b 7 7 a 5 c 5 6 1 9 3 4 e 0 8 9 "   o r d e r = " 9 9 9 "   e n t i t y I d = " c d a 2 d 8 a e - 6 a 2 0 - 4 5 c 5 - b 6 9 c - c 5 3 d 1 4 1 4 f f 5 3 "   l i n k e d E n t i t y I d = " 0 0 0 0 0 0 0 0 - 0 0 0 0 - 0 0 0 0 - 0 0 0 0 - 0 0 0 0 0 0 0 0 0 0 0 0 "   l i n k e d F i e l d I d = " 0 0 0 0 0 0 0 0 - 0 0 0 0 - 0 0 0 0 - 0 0 0 0 - 0 0 0 0 0 0 0 0 0 0 0 0 "   l i n k e d F i e l d I n d e x = " 0 "   i n d e x = " 0 "   f i e l d T y p e = " q u e s t i o n "   f o r m a t E v a l u a t o r T y p e = " f o r m a t S t r i n g "   h i d d e n = " f a l s e " > F a l s e < / f i e l d >  
         < f i e l d   i d = " 0 8 3 d 5 a 5 f - 7 a 4 6 - 4 9 2 7 - a d 1 b - 2 e 7 1 0 3 f 3 6 8 b 1 "   n a m e = " L o g i n "   t y p e = " "   o r d e r = " 9 9 9 "   e n t i t y I d = " f 2 9 4 b 1 d 2 - 1 b 4 5 - 4 e 5 f - 9 4 c 4 - 2 9 5 3 e 5 1 5 0 1 3 7 "   l i n k e d E n t i t y I d = " 0 0 0 0 0 0 0 0 - 0 0 0 0 - 0 0 0 0 - 0 0 0 0 - 0 0 0 0 0 0 0 0 0 0 0 0 "   l i n k e d F i e l d I d = " 0 0 0 0 0 0 0 0 - 0 0 0 0 - 0 0 0 0 - 0 0 0 0 - 0 0 0 0 0 0 0 0 0 0 0 0 "   l i n k e d F i e l d I n d e x = " 0 "   i n d e x = " 0 "   f i e l d T y p e = " c o i "   f o r m a t E v a l u a t o r T y p e = " f o r m a t S t r i n g "   h i d d e n = " f a l s e " > s g l e e s o n < / f i e l d >  
         < f i e l d   i d = " 8 1 e 9 2 d 9 c - b 5 8 3 - 4 e 1 1 - a c a 5 - 6 4 2 d 8 c a e 8 1 5 7 "   n a m e = " S e l e c t e d V a l u e "   t y p e = " "   o r d e r = " 9 9 9 "   e n t i t y I d = " f 6 1 b d f b 0 - b 0 c 3 - 4 5 a 8 - 9 2 f a - 0 e 8 7 8 2 f 8 e 7 8 6 "   l i n k e d E n t i t y I d = " 0 0 0 0 0 0 0 0 - 0 0 0 0 - 0 0 0 0 - 0 0 0 0 - 0 0 0 0 0 0 0 0 0 0 0 0 "   l i n k e d F i e l d I d = " 0 0 0 0 0 0 0 0 - 0 0 0 0 - 0 0 0 0 - 0 0 0 0 - 0 0 0 0 0 0 0 0 0 0 0 0 "   l i n k e d F i e l d I n d e x = " 0 "   i n d e x = " 0 "   f i e l d T y p e = " q u e s t i o n "   f o r m a t E v a l u a t o r T y p e = " f o r m a t S t r i n g "   h i d d e n = " f a l s e " > G N < / f i e l d >  
         < f i e l d   i d = " 0 a c 0 d 9 8 3 - 7 d 0 f - 4 0 b 2 - a e 0 2 - c 4 6 9 a d 3 7 b 7 f e "   n a m e = " R e f r e s h O n P r o f i l e C h a n g e "   t y p e = " "   o r d e r = " 9 9 9 "   e n t i t y I d = " c d a 2 d 8 a e - 6 a 2 0 - 4 5 c 5 - b 6 9 c - c 5 3 d 1 4 1 4 f f 5 3 "   l i n k e d E n t i t y I d = " 0 0 0 0 0 0 0 0 - 0 0 0 0 - 0 0 0 0 - 0 0 0 0 - 0 0 0 0 0 0 0 0 0 0 0 0 "   l i n k e d F i e l d I d = " 0 0 0 0 0 0 0 0 - 0 0 0 0 - 0 0 0 0 - 0 0 0 0 - 0 0 0 0 0 0 0 0 0 0 0 0 "   l i n k e d F i e l d I n d e x = " 0 "   i n d e x = " 0 "   f i e l d T y p e = " q u e s t i o n "   f o r m a t E v a l u a t o r T y p e = " f o r m a t S t r i n g "   h i d d e n = " f a l s e " / >  
         < f i e l d   i d = " a 0 6 3 5 d f 7 - 3 c 7 1 - 4 e b c - 9 b 8 6 - 0 d d d f e a 3 d 5 3 6 "   n a m e = " R e f r e s h O n S a v e A s "   t y p e = " "   o r d e r = " 9 9 9 "   e n t i t y I d = " c d a 2 d 8 a e - 6 a 2 0 - 4 5 c 5 - b 6 9 c - c 5 3 d 1 4 1 4 f f 5 3 "   l i n k e d E n t i t y I d = " 0 0 0 0 0 0 0 0 - 0 0 0 0 - 0 0 0 0 - 0 0 0 0 - 0 0 0 0 0 0 0 0 0 0 0 0 "   l i n k e d F i e l d I d = " 0 0 0 0 0 0 0 0 - 0 0 0 0 - 0 0 0 0 - 0 0 0 0 - 0 0 0 0 0 0 0 0 0 0 0 0 "   l i n k e d F i e l d I n d e x = " 0 "   i n d e x = " 0 "   f i e l d T y p e = " q u e s t i o n "   f o r m a t E v a l u a t o r T y p e = " f o r m a t S t r i n g "   h i d d e n = " f a l s e " / >  
         < f i e l d   i d = " 8 e 8 b 5 8 3 6 - 3 9 1 1 - 4 b a 7 - a 8 c b - 6 5 a 2 4 1 a 1 c 8 7 e "   n a m e = " P r o f i l e F i e l d 1 "   t y p e = " "   o r d e r = " 9 9 9 "   e n t i t y I d = " c d a 2 d 8 a e - 6 a 2 0 - 4 5 c 5 - b 6 9 c - c 5 3 d 1 4 1 4 f f 5 3 "   l i n k e d E n t i t y I d = " 0 0 0 0 0 0 0 0 - 0 0 0 0 - 0 0 0 0 - 0 0 0 0 - 0 0 0 0 0 0 0 0 0 0 0 0 "   l i n k e d F i e l d I d = " 0 0 0 0 0 0 0 0 - 0 0 0 0 - 0 0 0 0 - 0 0 0 0 - 0 0 0 0 0 0 0 0 0 0 0 0 "   l i n k e d F i e l d I n d e x = " 0 "   i n d e x = " 0 "   f i e l d T y p e = " q u e s t i o n "   f o r m a t E v a l u a t o r T y p e = " f o r m a t S t r i n g "   h i d d e n = " f a l s e " / >  
         < f i e l d   i d = " 5 6 3 d b a 8 1 - 2 9 2 6 - 4 7 c 2 - a 4 3 0 - b 4 f 6 2 a 1 e 2 8 1 7 "   n a m e = " P r o f i l e F i e l d 1 D e s c r i p t i o n "   t y p e = " "   o r d e r = " 9 9 9 "   e n t i t y I d = " c d a 2 d 8 a e - 6 a 2 0 - 4 5 c 5 - b 6 9 c - c 5 3 d 1 4 1 4 f f 5 3 "   l i n k e d E n t i t y I d = " 0 0 0 0 0 0 0 0 - 0 0 0 0 - 0 0 0 0 - 0 0 0 0 - 0 0 0 0 0 0 0 0 0 0 0 0 "   l i n k e d F i e l d I d = " 0 0 0 0 0 0 0 0 - 0 0 0 0 - 0 0 0 0 - 0 0 0 0 - 0 0 0 0 0 0 0 0 0 0 0 0 "   l i n k e d F i e l d I n d e x = " 0 "   i n d e x = " 0 "   f i e l d T y p e = " q u e s t i o n "   f o r m a t E v a l u a t o r T y p e = " f o r m a t S t r i n g "   h i d d e n = " f a l s e " / >  
         < f i e l d   i d = " c c b 4 a b 0 1 - c c f 4 - 4 5 1 3 - 8 b b c - 6 e f 2 1 4 5 b 1 6 a 6 "   n a m e = " P r o f i l e F i e l d 2 "   t y p e = " "   o r d e r = " 9 9 9 "   e n t i t y I d = " c d a 2 d 8 a e - 6 a 2 0 - 4 5 c 5 - b 6 9 c - c 5 3 d 1 4 1 4 f f 5 3 "   l i n k e d E n t i t y I d = " 0 0 0 0 0 0 0 0 - 0 0 0 0 - 0 0 0 0 - 0 0 0 0 - 0 0 0 0 0 0 0 0 0 0 0 0 "   l i n k e d F i e l d I d = " 0 0 0 0 0 0 0 0 - 0 0 0 0 - 0 0 0 0 - 0 0 0 0 - 0 0 0 0 0 0 0 0 0 0 0 0 "   l i n k e d F i e l d I n d e x = " 0 "   i n d e x = " 0 "   f i e l d T y p e = " q u e s t i o n "   f o r m a t E v a l u a t o r T y p e = " f o r m a t S t r i n g "   h i d d e n = " f a l s e " / >  
         < f i e l d   i d = " c 0 4 7 b 3 6 9 - 4 d f e - 4 4 6 0 - 8 9 6 1 - 5 e d b 5 3 4 4 7 c f f "   n a m e = " P r o f i l e F i e l d 2 D e s c r i p t i o n "   t y p e = " "   o r d e r = " 9 9 9 "   e n t i t y I d = " c d a 2 d 8 a e - 6 a 2 0 - 4 5 c 5 - b 6 9 c - c 5 3 d 1 4 1 4 f f 5 3 "   l i n k e d E n t i t y I d = " 0 0 0 0 0 0 0 0 - 0 0 0 0 - 0 0 0 0 - 0 0 0 0 - 0 0 0 0 0 0 0 0 0 0 0 0 "   l i n k e d F i e l d I d = " 0 0 0 0 0 0 0 0 - 0 0 0 0 - 0 0 0 0 - 0 0 0 0 - 0 0 0 0 0 0 0 0 0 0 0 0 "   l i n k e d F i e l d I n d e x = " 0 "   i n d e x = " 0 "   f i e l d T y p e = " q u e s t i o n "   f o r m a t E v a l u a t o r T y p e = " f o r m a t S t r i n g "   h i d d e n = " f a l s e " / >  
         < f i e l d   i d = " 7 5 3 2 7 c a 1 - c 6 c b - 4 7 8 0 - 8 a 2 2 - 2 1 8 1 7 3 d 5 2 c 3 7 "   n a m e = " T y p i s t "   t y p e = " "   o r d e r = " 9 9 9 "   e n t i t y I d = " c d a 2 d 8 a e - 6 a 2 0 - 4 5 c 5 - b 6 9 c - c 5 3 d 1 4 1 4 f f 5 3 "   l i n k e d E n t i t y I d = " 0 0 0 0 0 0 0 0 - 0 0 0 0 - 0 0 0 0 - 0 0 0 0 - 0 0 0 0 0 0 0 0 0 0 0 0 "   l i n k e d F i e l d I d = " 0 0 0 0 0 0 0 0 - 0 0 0 0 - 0 0 0 0 - 0 0 0 0 - 0 0 0 0 0 0 0 0 0 0 0 0 "   l i n k e d F i e l d I n d e x = " 0 "   i n d e x = " 0 "   f i e l d T y p e = " q u e s t i o n "   f o r m a t E v a l u a t o r T y p e = " f o r m a t S t r i n g "   h i d d e n = " f a l s e " > S P R U N T Y < / f i e l d >  
         < f i e l d   i d = " a 8 1 9 4 3 5 9 - 0 f 2 9 - 4 7 5 e - 9 1 b 9 - a f 1 6 6 8 4 c 7 e b c "   n a m e = " S e l e c t e d K e y "   t y p e = " "   o r d e r = " 9 9 9 "   e n t i t y I d = " f 6 1 b d f b 0 - b 0 c 3 - 4 5 a 8 - 9 2 f a - 0 e 8 7 8 2 f 8 e 7 8 6 "   l i n k e d E n t i t y I d = " 0 0 0 0 0 0 0 0 - 0 0 0 0 - 0 0 0 0 - 0 0 0 0 - 0 0 0 0 0 0 0 0 0 0 0 0 "   l i n k e d F i e l d I d = " 0 0 0 0 0 0 0 0 - 0 0 0 0 - 0 0 0 0 - 0 0 0 0 - 0 0 0 0 0 0 0 0 0 0 0 0 "   l i n k e d F i e l d I n d e x = " 0 "   i n d e x = " 0 "   f i e l d T y p e = " q u e s t i o n "   f o r m a t E v a l u a t o r T y p e = " f o r m a t S t r i n g "   h i d d e n = " f a l s e " > G N < / f i e l d >  
     < / f i e l d s >  
     < p r i n t C o n f i g u r a t i o n   s u p p o r t C u s t o m P r i n t = " t r u e "   s h o w P r i n t S e t t i n g s = " t r u e "   s h o w P r i n t O p t i o n s = " t r u e "   e n a b l e C o s t R e c o v e r y = " f a l s e " >  
         < p r o f i l e s >  
             < p r o f i l e   i d = " 2 9 8 6 2 d 6 f - 7 4 6 0 - 4 1 1 d - a f 6 9 - 1 4 e 3 4 8 5 e 0 8 c 5 "   n a m e = " & l t ; ? x m l   v e r s i o n = & q u o t ; 1 . 0 & q u o t ;   e n c o d i n g = & q u o t ; u t f - 1 6 & q u o t ; ? & g t ; & # x A ; & l t ; u i L o c a l i z e d S t r i n g   x m l n s : x s i = & q u o t ; h t t p : / / w w w . w 3 . o r g / 2 0 0 1 / X M L S c h e m a - i n s t a n c e & q u o t ;   x m l n s : x s d = & q u o t ; h t t p : / / w w w . w 3 . o r g / 2 0 0 1 / X M L S c h e m a & q u o t ; & g t ; & # x A ;     & l t ; t y p e & g t ; l a b e l & l t ; / t y p e & g t ; & # x A ;     & l t ; t e x t & g t ; S t a n d a r d   C o p i e s & l t ; / t e x t & g t ; & # x A ; & l t ; / u i L o c a l i z e d S t r i n g & g t ; "   f i r s t T r a y T y p e = " p l a i n "   o t h e r T r a y T y p e = " p l a i n "   p r i n t H i d d e n T e x t = " f a l s e "   d e f a u l t C o p i e s = " 1 "   b u i l d i n g B l o c k N a m e = " & l t ; ? x m l   v e r s i o n = & q u o t ; 1 . 0 & q u o t ;   e n c o d i n g = & q u o t ; u t f - 1 6 & q u o t ; ? & g t ; & # x A ; & l t ; l o c a l i z e d S t r i n g   x m l n s : x s i = & q u o t ; h t t p : / / w w w . w 3 . o r g / 2 0 0 1 / X M L S c h e m a - i n s t a n c e & q u o t ;   x m l n s : x s d = & q u o t ; h t t p : / / w w w . w 3 . o r g / 2 0 0 1 / X M L S c h e m a & q u o t ; & g t ; & # x A ;     & l t ; t y p e & g t ; f i x e d & l t ; / t y p e & g t ; & # x A ;     & l t ; t e x t   / & g t ; & # x A ; & l t ; / l o c a l i z e d S t r i n g & g t ; "   b u i l d i n g B l o c k L o c a t i o n s = " A l l H e a d e r s "   a l t e r n a t e B u i l d i n g B l o c k N a m e = " & l t ; ? x m l   v e r s i o n = & q u o t ; 1 . 0 & q u o t ;   e n c o d i n g = & q u o t ; u t f - 1 6 & q u o t ; ? & g t ; & # x A ; & l t ; l o c a l i z e d S t r i n g   x m l n s : x s i = & q u o t ; h t t p : / / w w w . w 3 . o r g / 2 0 0 1 / X M L S c h e m a - i n s t a n c e & q u o t ;   x m l n s : x s d = & q u o t ; h t t p : / / w w w . w 3 . o r g / 2 0 0 1 / X M L S c h e m a & q u o t ; & g t ; & # x A ;     & l t ; t y p e & g t ; f i x e d & l t ; / t y p e & g t ; & # x A ;     & l t ; t e x t   / & g t ; & # x A ; & l t ; / l o c a l i z e d S t r i n g & g t ; "   a l t e r n a t e P a g e F r o m S e c t i o n = " - 1 "   d u p l e x i n g = " d e f a u l t "   c o l o u r = " d e f a u l t "   o r d e r = " 0 " / >  
         < / p r o f i l e s >  
     < / p r i n t C o n f i g u r a t i o n >  
     < s t y l e C o n f i g u r a t i o n / >  
 < / t e m p l a t 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A529C-A041-4957-9128-718EAF758BCB}">
  <ds:schemaRefs>
    <ds:schemaRef ds:uri="http://www.w3.org/2001/XMLSchema"/>
    <ds:schemaRef ds:uri="http://iphelion.com/word/outline/"/>
  </ds:schemaRefs>
</ds:datastoreItem>
</file>

<file path=customXml/itemProps2.xml><?xml version="1.0" encoding="utf-8"?>
<ds:datastoreItem xmlns:ds="http://schemas.openxmlformats.org/officeDocument/2006/customXml" ds:itemID="{92F4A223-2E40-4334-9C9F-8A23C8886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33597</Words>
  <Characters>191507</Characters>
  <Application>Microsoft Office Word</Application>
  <DocSecurity>0</DocSecurity>
  <Lines>1595</Lines>
  <Paragraphs>449</Paragraphs>
  <ScaleCrop>false</ScaleCrop>
  <HeadingPairs>
    <vt:vector size="2" baseType="variant">
      <vt:variant>
        <vt:lpstr>Title</vt:lpstr>
      </vt:variant>
      <vt:variant>
        <vt:i4>1</vt:i4>
      </vt:variant>
    </vt:vector>
  </HeadingPairs>
  <TitlesOfParts>
    <vt:vector size="1" baseType="lpstr">
      <vt:lpstr/>
    </vt:vector>
  </TitlesOfParts>
  <Company>A&amp;L Goodbody</Company>
  <LinksUpToDate>false</LinksUpToDate>
  <CharactersWithSpaces>224655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Conlon</dc:creator>
  <cp:keywords/>
  <dc:description/>
  <cp:lastModifiedBy>Hazel Murray</cp:lastModifiedBy>
  <cp:revision>2</cp:revision>
  <dcterms:created xsi:type="dcterms:W3CDTF">2021-07-22T11:27:00Z</dcterms:created>
  <dcterms:modified xsi:type="dcterms:W3CDTF">2021-07-22T11:27:00Z</dcterms:modified>
</cp:coreProperties>
</file>